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720"/>
        <w:gridCol w:w="7110"/>
      </w:tblGrid>
      <w:tr w:rsidR="00631927" w:rsidRPr="00A8777F">
        <w:tblPrEx>
          <w:tblCellMar>
            <w:top w:w="0" w:type="dxa"/>
            <w:bottom w:w="0" w:type="dxa"/>
          </w:tblCellMar>
        </w:tblPrEx>
        <w:trPr>
          <w:cantSplit/>
        </w:trPr>
        <w:tc>
          <w:tcPr>
            <w:tcW w:w="2720" w:type="dxa"/>
          </w:tcPr>
          <w:p w:rsidR="00631927" w:rsidRPr="00A8777F" w:rsidRDefault="00631927" w:rsidP="00565A86">
            <w:pPr>
              <w:pStyle w:val="Heading1"/>
              <w:rPr>
                <w:rFonts w:ascii="Arial" w:hAnsi="Arial" w:cs="Arial"/>
                <w:sz w:val="22"/>
                <w:szCs w:val="22"/>
              </w:rPr>
            </w:pPr>
            <w:bookmarkStart w:id="0" w:name="_GoBack"/>
            <w:bookmarkEnd w:id="0"/>
            <w:r w:rsidRPr="00A8777F">
              <w:rPr>
                <w:rFonts w:ascii="Arial" w:hAnsi="Arial" w:cs="Arial"/>
                <w:sz w:val="22"/>
                <w:szCs w:val="22"/>
              </w:rPr>
              <w:t>Purpose</w:t>
            </w:r>
          </w:p>
        </w:tc>
        <w:tc>
          <w:tcPr>
            <w:tcW w:w="7110" w:type="dxa"/>
          </w:tcPr>
          <w:p w:rsidR="00631927" w:rsidRPr="00416D10" w:rsidRDefault="00631927" w:rsidP="008C2D67">
            <w:pPr>
              <w:spacing w:after="120"/>
              <w:rPr>
                <w:rFonts w:ascii="Arial" w:hAnsi="Arial" w:cs="Arial"/>
                <w:sz w:val="22"/>
                <w:szCs w:val="22"/>
              </w:rPr>
            </w:pPr>
            <w:r w:rsidRPr="00416D10">
              <w:rPr>
                <w:rFonts w:ascii="Arial" w:hAnsi="Arial" w:cs="Arial"/>
                <w:sz w:val="22"/>
                <w:szCs w:val="22"/>
              </w:rPr>
              <w:t xml:space="preserve">The Committee monitors: (i) the integrity of the financial statements of </w:t>
            </w:r>
            <w:r w:rsidR="00BD5993">
              <w:rPr>
                <w:rFonts w:ascii="Arial" w:hAnsi="Arial" w:cs="Arial"/>
                <w:sz w:val="22"/>
                <w:szCs w:val="22"/>
              </w:rPr>
              <w:t>Oil Insurance Limited and Oil Casualty Insurance, Ltd</w:t>
            </w:r>
            <w:r w:rsidR="00C96926">
              <w:rPr>
                <w:rFonts w:ascii="Arial" w:hAnsi="Arial" w:cs="Arial"/>
                <w:sz w:val="22"/>
                <w:szCs w:val="22"/>
              </w:rPr>
              <w:t>.</w:t>
            </w:r>
            <w:r w:rsidR="008C2D67">
              <w:rPr>
                <w:rFonts w:ascii="Arial" w:hAnsi="Arial" w:cs="Arial"/>
                <w:sz w:val="22"/>
                <w:szCs w:val="22"/>
              </w:rPr>
              <w:t xml:space="preserve"> and their subsidiaries</w:t>
            </w:r>
            <w:r w:rsidR="00C96926">
              <w:rPr>
                <w:rFonts w:ascii="Arial" w:hAnsi="Arial" w:cs="Arial"/>
                <w:sz w:val="22"/>
                <w:szCs w:val="22"/>
              </w:rPr>
              <w:t xml:space="preserve"> </w:t>
            </w:r>
            <w:r w:rsidR="00BD5993">
              <w:rPr>
                <w:rFonts w:ascii="Arial" w:hAnsi="Arial" w:cs="Arial"/>
                <w:sz w:val="22"/>
                <w:szCs w:val="22"/>
              </w:rPr>
              <w:t>(the</w:t>
            </w:r>
            <w:r w:rsidRPr="00416D10">
              <w:rPr>
                <w:rFonts w:ascii="Arial" w:hAnsi="Arial" w:cs="Arial"/>
                <w:sz w:val="22"/>
                <w:szCs w:val="22"/>
              </w:rPr>
              <w:t xml:space="preserve"> </w:t>
            </w:r>
            <w:r w:rsidR="008C2D67">
              <w:rPr>
                <w:rFonts w:ascii="Arial" w:hAnsi="Arial" w:cs="Arial"/>
                <w:sz w:val="22"/>
                <w:szCs w:val="22"/>
              </w:rPr>
              <w:t>“</w:t>
            </w:r>
            <w:r w:rsidRPr="00416D10">
              <w:rPr>
                <w:rFonts w:ascii="Arial" w:hAnsi="Arial" w:cs="Arial"/>
                <w:sz w:val="22"/>
                <w:szCs w:val="22"/>
              </w:rPr>
              <w:t>Companies</w:t>
            </w:r>
            <w:r w:rsidR="00BD5993">
              <w:rPr>
                <w:rFonts w:ascii="Arial" w:hAnsi="Arial" w:cs="Arial"/>
                <w:sz w:val="22"/>
                <w:szCs w:val="22"/>
              </w:rPr>
              <w:t>”)</w:t>
            </w:r>
            <w:r w:rsidRPr="00416D10">
              <w:rPr>
                <w:rFonts w:ascii="Arial" w:hAnsi="Arial" w:cs="Arial"/>
                <w:sz w:val="22"/>
                <w:szCs w:val="22"/>
              </w:rPr>
              <w:t xml:space="preserve">; (ii) the independent auditor’s qualifications and independence; (iii) the performance of the Companies’ internal audit function; (iv) the performance of and the Companies’ relationship with independent auditors; </w:t>
            </w:r>
            <w:r w:rsidR="0017452C" w:rsidRPr="00416D10">
              <w:rPr>
                <w:rFonts w:ascii="Arial" w:hAnsi="Arial" w:cs="Arial"/>
                <w:sz w:val="22"/>
                <w:szCs w:val="22"/>
              </w:rPr>
              <w:t>(v) the ente</w:t>
            </w:r>
            <w:r w:rsidR="00752284" w:rsidRPr="00416D10">
              <w:rPr>
                <w:rFonts w:ascii="Arial" w:hAnsi="Arial" w:cs="Arial"/>
                <w:sz w:val="22"/>
                <w:szCs w:val="22"/>
              </w:rPr>
              <w:t>rprise risk management function</w:t>
            </w:r>
            <w:r w:rsidR="0017452C" w:rsidRPr="00416D10">
              <w:rPr>
                <w:rFonts w:ascii="Arial" w:hAnsi="Arial" w:cs="Arial"/>
                <w:sz w:val="22"/>
                <w:szCs w:val="22"/>
              </w:rPr>
              <w:t xml:space="preserve"> of the Companies; </w:t>
            </w:r>
            <w:r w:rsidRPr="00416D10">
              <w:rPr>
                <w:rFonts w:ascii="Arial" w:hAnsi="Arial" w:cs="Arial"/>
                <w:sz w:val="22"/>
                <w:szCs w:val="22"/>
              </w:rPr>
              <w:t>and (v</w:t>
            </w:r>
            <w:r w:rsidR="0015750A" w:rsidRPr="00416D10">
              <w:rPr>
                <w:rFonts w:ascii="Arial" w:hAnsi="Arial" w:cs="Arial"/>
                <w:sz w:val="22"/>
                <w:szCs w:val="22"/>
              </w:rPr>
              <w:t>i</w:t>
            </w:r>
            <w:r w:rsidRPr="00416D10">
              <w:rPr>
                <w:rFonts w:ascii="Arial" w:hAnsi="Arial" w:cs="Arial"/>
                <w:sz w:val="22"/>
                <w:szCs w:val="22"/>
              </w:rPr>
              <w:t>) the Companies’ compliance with accounting, legal and regulatory requirements.</w:t>
            </w:r>
          </w:p>
        </w:tc>
      </w:tr>
      <w:tr w:rsidR="00631927" w:rsidRPr="00A8777F">
        <w:tblPrEx>
          <w:tblCellMar>
            <w:top w:w="0" w:type="dxa"/>
            <w:bottom w:w="0" w:type="dxa"/>
          </w:tblCellMar>
        </w:tblPrEx>
        <w:trPr>
          <w:cantSplit/>
        </w:trPr>
        <w:tc>
          <w:tcPr>
            <w:tcW w:w="2720" w:type="dxa"/>
          </w:tcPr>
          <w:p w:rsidR="00631927" w:rsidRPr="00A8777F" w:rsidRDefault="00631927" w:rsidP="00565A86">
            <w:pPr>
              <w:pStyle w:val="Heading1"/>
              <w:rPr>
                <w:rFonts w:ascii="Arial" w:hAnsi="Arial" w:cs="Arial"/>
                <w:sz w:val="22"/>
                <w:szCs w:val="22"/>
              </w:rPr>
            </w:pPr>
            <w:r w:rsidRPr="00A8777F">
              <w:rPr>
                <w:rFonts w:ascii="Arial" w:hAnsi="Arial" w:cs="Arial"/>
                <w:sz w:val="22"/>
                <w:szCs w:val="22"/>
              </w:rPr>
              <w:t>Structure</w:t>
            </w:r>
          </w:p>
        </w:tc>
        <w:tc>
          <w:tcPr>
            <w:tcW w:w="7110" w:type="dxa"/>
          </w:tcPr>
          <w:p w:rsidR="00BE0670" w:rsidRPr="00416D10" w:rsidRDefault="00BE0670" w:rsidP="00565A86">
            <w:pPr>
              <w:spacing w:after="240"/>
              <w:rPr>
                <w:rFonts w:ascii="Arial" w:hAnsi="Arial" w:cs="Arial"/>
                <w:sz w:val="22"/>
                <w:szCs w:val="22"/>
              </w:rPr>
            </w:pPr>
            <w:r w:rsidRPr="00416D10">
              <w:rPr>
                <w:rFonts w:ascii="Arial" w:hAnsi="Arial" w:cs="Arial"/>
                <w:sz w:val="22"/>
                <w:szCs w:val="22"/>
              </w:rPr>
              <w:t>The Committee is a Standing Committee and will meet as a joint committee.</w:t>
            </w:r>
          </w:p>
          <w:p w:rsidR="00BE0670" w:rsidRPr="00416D10" w:rsidRDefault="00BE0670" w:rsidP="00565A86">
            <w:pPr>
              <w:spacing w:after="240"/>
              <w:rPr>
                <w:rFonts w:ascii="Arial" w:hAnsi="Arial" w:cs="Arial"/>
                <w:sz w:val="22"/>
                <w:szCs w:val="22"/>
              </w:rPr>
            </w:pPr>
            <w:r w:rsidRPr="00416D10">
              <w:rPr>
                <w:rFonts w:ascii="Arial" w:hAnsi="Arial" w:cs="Arial"/>
                <w:sz w:val="22"/>
                <w:szCs w:val="22"/>
              </w:rPr>
              <w:t xml:space="preserve">Members of the Audit Committee (the “Committee”) are appointed by their respective Company Boards.  </w:t>
            </w:r>
          </w:p>
          <w:p w:rsidR="00631927" w:rsidRPr="00416D10" w:rsidRDefault="00631927" w:rsidP="008C2D67">
            <w:pPr>
              <w:spacing w:after="240"/>
              <w:rPr>
                <w:rFonts w:ascii="Arial" w:hAnsi="Arial" w:cs="Arial"/>
                <w:sz w:val="22"/>
                <w:szCs w:val="22"/>
              </w:rPr>
            </w:pPr>
            <w:r w:rsidRPr="00416D10">
              <w:rPr>
                <w:rFonts w:ascii="Arial" w:hAnsi="Arial" w:cs="Arial"/>
                <w:sz w:val="22"/>
                <w:szCs w:val="22"/>
              </w:rPr>
              <w:t xml:space="preserve">The Committee will be comprised of not less than </w:t>
            </w:r>
            <w:r w:rsidR="00376839">
              <w:rPr>
                <w:rFonts w:ascii="Arial" w:hAnsi="Arial" w:cs="Arial"/>
                <w:sz w:val="22"/>
                <w:szCs w:val="22"/>
              </w:rPr>
              <w:t xml:space="preserve">three </w:t>
            </w:r>
            <w:r w:rsidR="00831470">
              <w:rPr>
                <w:rFonts w:ascii="Arial" w:hAnsi="Arial" w:cs="Arial"/>
                <w:sz w:val="22"/>
                <w:szCs w:val="22"/>
              </w:rPr>
              <w:t xml:space="preserve">and </w:t>
            </w:r>
            <w:r w:rsidR="00376839">
              <w:rPr>
                <w:rFonts w:ascii="Arial" w:hAnsi="Arial" w:cs="Arial"/>
                <w:sz w:val="22"/>
                <w:szCs w:val="22"/>
              </w:rPr>
              <w:t xml:space="preserve">not </w:t>
            </w:r>
            <w:r w:rsidRPr="00416D10">
              <w:rPr>
                <w:rFonts w:ascii="Arial" w:hAnsi="Arial" w:cs="Arial"/>
                <w:sz w:val="22"/>
                <w:szCs w:val="22"/>
              </w:rPr>
              <w:t xml:space="preserve">more than </w:t>
            </w:r>
            <w:r w:rsidR="009F266E" w:rsidRPr="00416D10">
              <w:rPr>
                <w:rFonts w:ascii="Arial" w:hAnsi="Arial" w:cs="Arial"/>
                <w:sz w:val="22"/>
                <w:szCs w:val="22"/>
              </w:rPr>
              <w:t xml:space="preserve">four directors </w:t>
            </w:r>
            <w:r w:rsidR="00831470">
              <w:rPr>
                <w:rFonts w:ascii="Arial" w:hAnsi="Arial" w:cs="Arial"/>
                <w:sz w:val="22"/>
                <w:szCs w:val="22"/>
              </w:rPr>
              <w:t>from</w:t>
            </w:r>
            <w:r w:rsidR="00831470" w:rsidRPr="00416D10">
              <w:rPr>
                <w:rFonts w:ascii="Arial" w:hAnsi="Arial" w:cs="Arial"/>
                <w:sz w:val="22"/>
                <w:szCs w:val="22"/>
              </w:rPr>
              <w:t xml:space="preserve"> </w:t>
            </w:r>
            <w:r w:rsidR="009F266E" w:rsidRPr="00416D10">
              <w:rPr>
                <w:rFonts w:ascii="Arial" w:hAnsi="Arial" w:cs="Arial"/>
                <w:sz w:val="22"/>
                <w:szCs w:val="22"/>
              </w:rPr>
              <w:t>O</w:t>
            </w:r>
            <w:r w:rsidR="00A06B1D" w:rsidRPr="00416D10">
              <w:rPr>
                <w:rFonts w:ascii="Arial" w:hAnsi="Arial" w:cs="Arial"/>
                <w:sz w:val="22"/>
                <w:szCs w:val="22"/>
              </w:rPr>
              <w:t xml:space="preserve">il </w:t>
            </w:r>
            <w:r w:rsidR="009F266E" w:rsidRPr="00416D10">
              <w:rPr>
                <w:rFonts w:ascii="Arial" w:hAnsi="Arial" w:cs="Arial"/>
                <w:sz w:val="22"/>
                <w:szCs w:val="22"/>
              </w:rPr>
              <w:t>I</w:t>
            </w:r>
            <w:r w:rsidR="00A06B1D" w:rsidRPr="00416D10">
              <w:rPr>
                <w:rFonts w:ascii="Arial" w:hAnsi="Arial" w:cs="Arial"/>
                <w:sz w:val="22"/>
                <w:szCs w:val="22"/>
              </w:rPr>
              <w:t xml:space="preserve">nsurance </w:t>
            </w:r>
            <w:r w:rsidR="009F266E" w:rsidRPr="00416D10">
              <w:rPr>
                <w:rFonts w:ascii="Arial" w:hAnsi="Arial" w:cs="Arial"/>
                <w:sz w:val="22"/>
                <w:szCs w:val="22"/>
              </w:rPr>
              <w:t>L</w:t>
            </w:r>
            <w:r w:rsidR="00A06B1D" w:rsidRPr="00416D10">
              <w:rPr>
                <w:rFonts w:ascii="Arial" w:hAnsi="Arial" w:cs="Arial"/>
                <w:sz w:val="22"/>
                <w:szCs w:val="22"/>
              </w:rPr>
              <w:t>imited</w:t>
            </w:r>
            <w:r w:rsidR="009F266E" w:rsidRPr="00416D10">
              <w:rPr>
                <w:rFonts w:ascii="Arial" w:hAnsi="Arial" w:cs="Arial"/>
                <w:sz w:val="22"/>
                <w:szCs w:val="22"/>
              </w:rPr>
              <w:t xml:space="preserve"> and O</w:t>
            </w:r>
            <w:r w:rsidR="00A06B1D" w:rsidRPr="00416D10">
              <w:rPr>
                <w:rFonts w:ascii="Arial" w:hAnsi="Arial" w:cs="Arial"/>
                <w:sz w:val="22"/>
                <w:szCs w:val="22"/>
              </w:rPr>
              <w:t xml:space="preserve">il </w:t>
            </w:r>
            <w:r w:rsidR="009F266E" w:rsidRPr="00416D10">
              <w:rPr>
                <w:rFonts w:ascii="Arial" w:hAnsi="Arial" w:cs="Arial"/>
                <w:sz w:val="22"/>
                <w:szCs w:val="22"/>
              </w:rPr>
              <w:t>C</w:t>
            </w:r>
            <w:r w:rsidR="00A06B1D" w:rsidRPr="00416D10">
              <w:rPr>
                <w:rFonts w:ascii="Arial" w:hAnsi="Arial" w:cs="Arial"/>
                <w:sz w:val="22"/>
                <w:szCs w:val="22"/>
              </w:rPr>
              <w:t xml:space="preserve">asualty </w:t>
            </w:r>
            <w:r w:rsidR="009F266E" w:rsidRPr="00416D10">
              <w:rPr>
                <w:rFonts w:ascii="Arial" w:hAnsi="Arial" w:cs="Arial"/>
                <w:sz w:val="22"/>
                <w:szCs w:val="22"/>
              </w:rPr>
              <w:t>I</w:t>
            </w:r>
            <w:r w:rsidR="00A06B1D" w:rsidRPr="00416D10">
              <w:rPr>
                <w:rFonts w:ascii="Arial" w:hAnsi="Arial" w:cs="Arial"/>
                <w:sz w:val="22"/>
                <w:szCs w:val="22"/>
              </w:rPr>
              <w:t>nsurance, Ltd</w:t>
            </w:r>
            <w:r w:rsidR="00831470" w:rsidRPr="00416D10">
              <w:rPr>
                <w:rFonts w:ascii="Arial" w:hAnsi="Arial" w:cs="Arial"/>
                <w:sz w:val="22"/>
                <w:szCs w:val="22"/>
              </w:rPr>
              <w:t>.</w:t>
            </w:r>
            <w:r w:rsidR="00831470">
              <w:rPr>
                <w:rFonts w:ascii="Arial" w:hAnsi="Arial" w:cs="Arial"/>
                <w:sz w:val="22"/>
                <w:szCs w:val="22"/>
              </w:rPr>
              <w:t xml:space="preserve">, </w:t>
            </w:r>
            <w:r w:rsidR="009979A3">
              <w:rPr>
                <w:rFonts w:ascii="Arial" w:hAnsi="Arial" w:cs="Arial"/>
                <w:sz w:val="22"/>
                <w:szCs w:val="22"/>
              </w:rPr>
              <w:t>respectively</w:t>
            </w:r>
            <w:r w:rsidR="00831470">
              <w:rPr>
                <w:rFonts w:ascii="Arial" w:hAnsi="Arial" w:cs="Arial"/>
                <w:sz w:val="22"/>
                <w:szCs w:val="22"/>
              </w:rPr>
              <w:t xml:space="preserve">.  </w:t>
            </w:r>
            <w:r w:rsidRPr="00416D10">
              <w:rPr>
                <w:rFonts w:ascii="Arial" w:hAnsi="Arial" w:cs="Arial"/>
                <w:sz w:val="22"/>
                <w:szCs w:val="22"/>
              </w:rPr>
              <w:t>Committee members will be selected based upon their (i) prior experience in matters to be considered by the Committee, (ii) probable availability at times required for consideration of such matters, and (iii) perceived individual independence and objectivity.  The Committee members will select a Chair annually</w:t>
            </w:r>
            <w:r w:rsidRPr="008C2D67">
              <w:rPr>
                <w:rFonts w:ascii="Arial" w:hAnsi="Arial" w:cs="Arial"/>
                <w:sz w:val="22"/>
                <w:szCs w:val="22"/>
              </w:rPr>
              <w:t>.</w:t>
            </w:r>
            <w:r w:rsidRPr="00416D10">
              <w:rPr>
                <w:rFonts w:ascii="Arial" w:hAnsi="Arial" w:cs="Arial"/>
                <w:sz w:val="22"/>
                <w:szCs w:val="22"/>
              </w:rPr>
              <w:t xml:space="preserve">  All members should be financially literate and at least one member must qualify as an Audit Committee financial expert</w:t>
            </w:r>
            <w:r w:rsidR="00A8777F" w:rsidRPr="00416D10">
              <w:rPr>
                <w:rFonts w:ascii="Arial" w:hAnsi="Arial" w:cs="Arial"/>
                <w:sz w:val="22"/>
                <w:szCs w:val="22"/>
              </w:rPr>
              <w:t>.</w:t>
            </w:r>
          </w:p>
        </w:tc>
      </w:tr>
      <w:tr w:rsidR="00631927" w:rsidRPr="007612A7">
        <w:tblPrEx>
          <w:tblCellMar>
            <w:top w:w="0" w:type="dxa"/>
            <w:bottom w:w="0" w:type="dxa"/>
          </w:tblCellMar>
        </w:tblPrEx>
        <w:trPr>
          <w:cantSplit/>
        </w:trPr>
        <w:tc>
          <w:tcPr>
            <w:tcW w:w="2720" w:type="dxa"/>
          </w:tcPr>
          <w:p w:rsidR="00631927" w:rsidRPr="007612A7" w:rsidRDefault="00631927" w:rsidP="00565A86">
            <w:pPr>
              <w:pStyle w:val="Heading1"/>
              <w:rPr>
                <w:rFonts w:ascii="Arial" w:hAnsi="Arial" w:cs="Arial"/>
                <w:sz w:val="22"/>
                <w:szCs w:val="22"/>
              </w:rPr>
            </w:pPr>
            <w:r w:rsidRPr="007612A7">
              <w:rPr>
                <w:rFonts w:ascii="Arial" w:hAnsi="Arial" w:cs="Arial"/>
                <w:sz w:val="22"/>
                <w:szCs w:val="22"/>
              </w:rPr>
              <w:t>Procedure</w:t>
            </w:r>
          </w:p>
        </w:tc>
        <w:tc>
          <w:tcPr>
            <w:tcW w:w="7110" w:type="dxa"/>
          </w:tcPr>
          <w:p w:rsidR="00C51C4D" w:rsidRPr="007612A7" w:rsidRDefault="00631927" w:rsidP="00A06B1D">
            <w:pPr>
              <w:spacing w:after="120"/>
              <w:rPr>
                <w:rFonts w:ascii="Arial" w:hAnsi="Arial" w:cs="Arial"/>
                <w:sz w:val="22"/>
                <w:szCs w:val="22"/>
              </w:rPr>
            </w:pPr>
            <w:r w:rsidRPr="007612A7">
              <w:rPr>
                <w:rFonts w:ascii="Arial" w:hAnsi="Arial" w:cs="Arial"/>
                <w:sz w:val="22"/>
                <w:szCs w:val="22"/>
              </w:rPr>
              <w:t xml:space="preserve">The Committee will report to the Boards of Directors and will meet as often as it determines, but not less than four times a year. Additionally, the Committee will meet separately in executive session with members of management, the external auditors, and the internal auditors at least annually. The Committee will meet in executive session without management as necessary. </w:t>
            </w:r>
            <w:r w:rsidR="00A06B1D" w:rsidRPr="007612A7">
              <w:rPr>
                <w:rFonts w:ascii="Arial" w:hAnsi="Arial" w:cs="Arial"/>
                <w:sz w:val="22"/>
                <w:szCs w:val="22"/>
              </w:rPr>
              <w:t xml:space="preserve"> </w:t>
            </w:r>
            <w:r w:rsidRPr="007612A7">
              <w:rPr>
                <w:rFonts w:ascii="Arial" w:hAnsi="Arial" w:cs="Arial"/>
                <w:sz w:val="22"/>
                <w:szCs w:val="22"/>
              </w:rPr>
              <w:t>The Committee may request any officer</w:t>
            </w:r>
            <w:r w:rsidR="00CC05B7">
              <w:rPr>
                <w:rFonts w:ascii="Arial" w:hAnsi="Arial" w:cs="Arial"/>
                <w:sz w:val="22"/>
                <w:szCs w:val="22"/>
              </w:rPr>
              <w:t>, director</w:t>
            </w:r>
            <w:r w:rsidRPr="007612A7">
              <w:rPr>
                <w:rFonts w:ascii="Arial" w:hAnsi="Arial" w:cs="Arial"/>
                <w:sz w:val="22"/>
                <w:szCs w:val="22"/>
              </w:rPr>
              <w:t xml:space="preserve"> or employee of the Companies, or the</w:t>
            </w:r>
            <w:r w:rsidR="00CC05B7">
              <w:rPr>
                <w:rFonts w:ascii="Arial" w:hAnsi="Arial" w:cs="Arial"/>
                <w:sz w:val="22"/>
                <w:szCs w:val="22"/>
              </w:rPr>
              <w:t>ir subsidiaries, or any of their</w:t>
            </w:r>
            <w:r w:rsidRPr="007612A7">
              <w:rPr>
                <w:rFonts w:ascii="Arial" w:hAnsi="Arial" w:cs="Arial"/>
                <w:sz w:val="22"/>
                <w:szCs w:val="22"/>
              </w:rPr>
              <w:t xml:space="preserve"> outside counsel or independent auditor, to attend a meeting of the Committee or to meet with any members of, or consultants to, the Committee.</w:t>
            </w:r>
            <w:r w:rsidR="00A06B1D" w:rsidRPr="007612A7">
              <w:rPr>
                <w:rFonts w:ascii="Arial" w:hAnsi="Arial" w:cs="Arial"/>
                <w:sz w:val="22"/>
                <w:szCs w:val="22"/>
              </w:rPr>
              <w:t xml:space="preserve">  </w:t>
            </w:r>
          </w:p>
          <w:p w:rsidR="00631927" w:rsidRPr="007612A7" w:rsidRDefault="00A06B1D" w:rsidP="00831470">
            <w:pPr>
              <w:spacing w:after="120"/>
              <w:rPr>
                <w:rFonts w:ascii="Arial" w:hAnsi="Arial" w:cs="Arial"/>
                <w:sz w:val="22"/>
                <w:szCs w:val="22"/>
              </w:rPr>
            </w:pPr>
            <w:r w:rsidRPr="007612A7">
              <w:rPr>
                <w:rFonts w:ascii="Arial" w:hAnsi="Arial" w:cs="Arial"/>
                <w:sz w:val="22"/>
                <w:szCs w:val="22"/>
              </w:rPr>
              <w:t>A majority of the members of the Committee will constitute a quorum</w:t>
            </w:r>
            <w:r w:rsidR="00831470">
              <w:rPr>
                <w:rFonts w:ascii="Arial" w:hAnsi="Arial" w:cs="Arial"/>
                <w:sz w:val="22"/>
                <w:szCs w:val="22"/>
              </w:rPr>
              <w:t xml:space="preserve">. </w:t>
            </w:r>
            <w:r w:rsidR="00831470" w:rsidRPr="00416D10">
              <w:rPr>
                <w:rFonts w:ascii="Arial" w:hAnsi="Arial" w:cs="Arial"/>
                <w:sz w:val="22"/>
                <w:szCs w:val="22"/>
              </w:rPr>
              <w:t xml:space="preserve">For an action to be approved for either Oil Insurance Limited or Oil Casualty Insurance, Ltd., a majority of the Committee members from that Company must approve the action.  </w:t>
            </w:r>
          </w:p>
        </w:tc>
      </w:tr>
    </w:tbl>
    <w:p w:rsidR="00631927" w:rsidRPr="00A8777F" w:rsidRDefault="00631927" w:rsidP="00631927">
      <w:pPr>
        <w:rPr>
          <w:rFonts w:ascii="Arial" w:hAnsi="Arial" w:cs="Arial"/>
          <w:sz w:val="22"/>
          <w:szCs w:val="22"/>
        </w:rPr>
      </w:pPr>
      <w:r w:rsidRPr="00A8777F">
        <w:rPr>
          <w:rFonts w:ascii="Arial" w:hAnsi="Arial" w:cs="Arial"/>
          <w:bCs/>
          <w:sz w:val="22"/>
          <w:szCs w:val="22"/>
        </w:rPr>
        <w:br w:type="page"/>
      </w:r>
    </w:p>
    <w:tbl>
      <w:tblPr>
        <w:tblW w:w="98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720"/>
        <w:gridCol w:w="7110"/>
      </w:tblGrid>
      <w:tr w:rsidR="00631927" w:rsidRPr="00A8777F">
        <w:tblPrEx>
          <w:tblCellMar>
            <w:top w:w="0" w:type="dxa"/>
            <w:bottom w:w="0" w:type="dxa"/>
          </w:tblCellMar>
        </w:tblPrEx>
        <w:trPr>
          <w:cantSplit/>
        </w:trPr>
        <w:tc>
          <w:tcPr>
            <w:tcW w:w="2720" w:type="dxa"/>
            <w:tcBorders>
              <w:bottom w:val="nil"/>
            </w:tcBorders>
          </w:tcPr>
          <w:p w:rsidR="00631927" w:rsidRPr="00A8777F" w:rsidRDefault="00631927" w:rsidP="00565A86">
            <w:pPr>
              <w:pStyle w:val="Heading1"/>
              <w:rPr>
                <w:rFonts w:ascii="Arial" w:hAnsi="Arial" w:cs="Arial"/>
                <w:sz w:val="22"/>
                <w:szCs w:val="22"/>
              </w:rPr>
            </w:pPr>
            <w:r w:rsidRPr="00A8777F">
              <w:rPr>
                <w:rFonts w:ascii="Arial" w:hAnsi="Arial" w:cs="Arial"/>
                <w:sz w:val="22"/>
                <w:szCs w:val="22"/>
              </w:rPr>
              <w:lastRenderedPageBreak/>
              <w:t>Duties, Responsibilities &amp; Authority</w:t>
            </w:r>
          </w:p>
        </w:tc>
        <w:tc>
          <w:tcPr>
            <w:tcW w:w="7110" w:type="dxa"/>
            <w:tcBorders>
              <w:bottom w:val="nil"/>
            </w:tcBorders>
          </w:tcPr>
          <w:p w:rsidR="00631927" w:rsidRPr="00A8777F" w:rsidRDefault="00631927" w:rsidP="00357F1F">
            <w:pPr>
              <w:rPr>
                <w:rFonts w:ascii="Arial" w:hAnsi="Arial" w:cs="Arial"/>
                <w:sz w:val="22"/>
                <w:szCs w:val="22"/>
              </w:rPr>
            </w:pPr>
            <w:r w:rsidRPr="00A8777F">
              <w:rPr>
                <w:rFonts w:ascii="Arial" w:hAnsi="Arial" w:cs="Arial"/>
                <w:sz w:val="22"/>
                <w:szCs w:val="22"/>
              </w:rPr>
              <w:t>The Committee</w:t>
            </w:r>
            <w:r w:rsidR="00357F1F" w:rsidRPr="00A8777F">
              <w:rPr>
                <w:rFonts w:ascii="Arial" w:hAnsi="Arial" w:cs="Arial"/>
                <w:sz w:val="22"/>
                <w:szCs w:val="22"/>
              </w:rPr>
              <w:t>’s</w:t>
            </w:r>
            <w:r w:rsidRPr="00A8777F">
              <w:rPr>
                <w:rFonts w:ascii="Arial" w:hAnsi="Arial" w:cs="Arial"/>
                <w:sz w:val="22"/>
                <w:szCs w:val="22"/>
              </w:rPr>
              <w:t xml:space="preserve"> principal responsibilities include: </w:t>
            </w:r>
          </w:p>
        </w:tc>
      </w:tr>
      <w:tr w:rsidR="00631927" w:rsidRPr="00A8777F">
        <w:tblPrEx>
          <w:tblCellMar>
            <w:top w:w="0" w:type="dxa"/>
            <w:bottom w:w="0" w:type="dxa"/>
          </w:tblCellMar>
        </w:tblPrEx>
        <w:trPr>
          <w:cantSplit/>
        </w:trPr>
        <w:tc>
          <w:tcPr>
            <w:tcW w:w="2720" w:type="dxa"/>
            <w:tcBorders>
              <w:top w:val="nil"/>
              <w:bottom w:val="nil"/>
            </w:tcBorders>
          </w:tcPr>
          <w:p w:rsidR="00631927" w:rsidRPr="00A8777F" w:rsidRDefault="00631927" w:rsidP="00565A86">
            <w:pPr>
              <w:rPr>
                <w:rFonts w:ascii="Arial" w:hAnsi="Arial" w:cs="Arial"/>
                <w:sz w:val="22"/>
                <w:szCs w:val="22"/>
              </w:rPr>
            </w:pPr>
          </w:p>
          <w:p w:rsidR="00631927" w:rsidRPr="00A8777F" w:rsidRDefault="00631927" w:rsidP="00565A86">
            <w:pPr>
              <w:rPr>
                <w:rFonts w:ascii="Arial" w:hAnsi="Arial" w:cs="Arial"/>
                <w:sz w:val="22"/>
                <w:szCs w:val="22"/>
              </w:rPr>
            </w:pPr>
          </w:p>
          <w:p w:rsidR="00631927" w:rsidRPr="00A8777F" w:rsidRDefault="00631927" w:rsidP="00565A86">
            <w:pPr>
              <w:rPr>
                <w:rFonts w:ascii="Arial" w:hAnsi="Arial" w:cs="Arial"/>
                <w:sz w:val="22"/>
                <w:szCs w:val="22"/>
              </w:rPr>
            </w:pPr>
          </w:p>
          <w:p w:rsidR="00631927" w:rsidRPr="00A8777F" w:rsidRDefault="00631927" w:rsidP="00565A86">
            <w:pPr>
              <w:rPr>
                <w:rFonts w:ascii="Arial" w:hAnsi="Arial" w:cs="Arial"/>
                <w:sz w:val="22"/>
                <w:szCs w:val="22"/>
              </w:rPr>
            </w:pPr>
          </w:p>
          <w:p w:rsidR="00631927" w:rsidRPr="00A8777F" w:rsidRDefault="00631927" w:rsidP="00565A86">
            <w:pPr>
              <w:rPr>
                <w:rFonts w:ascii="Arial" w:hAnsi="Arial" w:cs="Arial"/>
                <w:sz w:val="22"/>
                <w:szCs w:val="22"/>
              </w:rPr>
            </w:pPr>
          </w:p>
        </w:tc>
        <w:tc>
          <w:tcPr>
            <w:tcW w:w="7110" w:type="dxa"/>
            <w:tcBorders>
              <w:top w:val="nil"/>
              <w:bottom w:val="nil"/>
            </w:tcBorders>
          </w:tcPr>
          <w:p w:rsidR="00631927" w:rsidRPr="00A8777F" w:rsidRDefault="00631927" w:rsidP="00565A86">
            <w:pPr>
              <w:pStyle w:val="Heading2"/>
              <w:rPr>
                <w:rFonts w:ascii="Arial" w:hAnsi="Arial" w:cs="Arial"/>
                <w:sz w:val="22"/>
                <w:szCs w:val="22"/>
              </w:rPr>
            </w:pPr>
            <w:r w:rsidRPr="00A8777F">
              <w:rPr>
                <w:rFonts w:ascii="Arial" w:hAnsi="Arial" w:cs="Arial"/>
                <w:sz w:val="22"/>
                <w:szCs w:val="22"/>
                <w:u w:val="single"/>
              </w:rPr>
              <w:t>Oversight of the financial reporting process, internal controls, and relations with the external and internal auditors</w:t>
            </w:r>
            <w:r w:rsidRPr="00A8777F">
              <w:rPr>
                <w:rFonts w:ascii="Arial" w:hAnsi="Arial" w:cs="Arial"/>
                <w:sz w:val="22"/>
                <w:szCs w:val="22"/>
              </w:rPr>
              <w:t>.</w:t>
            </w:r>
          </w:p>
          <w:p w:rsidR="00631927" w:rsidRPr="00A8777F" w:rsidRDefault="00631927" w:rsidP="00565A86">
            <w:pPr>
              <w:pStyle w:val="BodyText"/>
              <w:tabs>
                <w:tab w:val="left" w:pos="366"/>
              </w:tabs>
              <w:ind w:left="360"/>
              <w:rPr>
                <w:rFonts w:ascii="Arial" w:hAnsi="Arial" w:cs="Arial"/>
                <w:sz w:val="22"/>
                <w:szCs w:val="22"/>
              </w:rPr>
            </w:pPr>
            <w:r w:rsidRPr="00A8777F">
              <w:rPr>
                <w:rFonts w:ascii="Arial" w:hAnsi="Arial" w:cs="Arial"/>
                <w:sz w:val="22"/>
                <w:szCs w:val="22"/>
              </w:rPr>
              <w:t>The Committee is to:</w:t>
            </w:r>
          </w:p>
        </w:tc>
      </w:tr>
      <w:tr w:rsidR="00631927" w:rsidRPr="00A8777F">
        <w:tblPrEx>
          <w:tblCellMar>
            <w:top w:w="0" w:type="dxa"/>
            <w:bottom w:w="0" w:type="dxa"/>
          </w:tblCellMar>
        </w:tblPrEx>
        <w:trPr>
          <w:cantSplit/>
        </w:trPr>
        <w:tc>
          <w:tcPr>
            <w:tcW w:w="2720" w:type="dxa"/>
            <w:tcBorders>
              <w:top w:val="nil"/>
              <w:bottom w:val="nil"/>
            </w:tcBorders>
          </w:tcPr>
          <w:p w:rsidR="00631927" w:rsidRPr="00A8777F" w:rsidRDefault="00631927" w:rsidP="00565A86">
            <w:pPr>
              <w:rPr>
                <w:rFonts w:ascii="Arial" w:hAnsi="Arial" w:cs="Arial"/>
                <w:sz w:val="22"/>
                <w:szCs w:val="22"/>
              </w:rPr>
            </w:pPr>
          </w:p>
        </w:tc>
        <w:tc>
          <w:tcPr>
            <w:tcW w:w="7110" w:type="dxa"/>
            <w:tcBorders>
              <w:top w:val="nil"/>
              <w:bottom w:val="nil"/>
            </w:tcBorders>
          </w:tcPr>
          <w:p w:rsidR="00631927" w:rsidRPr="00A8777F" w:rsidRDefault="00631927" w:rsidP="00565A86">
            <w:pPr>
              <w:pStyle w:val="Heading3"/>
              <w:rPr>
                <w:rFonts w:ascii="Arial" w:hAnsi="Arial" w:cs="Arial"/>
                <w:sz w:val="22"/>
                <w:szCs w:val="22"/>
              </w:rPr>
            </w:pPr>
            <w:r w:rsidRPr="00A8777F">
              <w:rPr>
                <w:rFonts w:ascii="Arial" w:hAnsi="Arial" w:cs="Arial"/>
                <w:sz w:val="22"/>
                <w:szCs w:val="22"/>
              </w:rPr>
              <w:t>Assess the Companies’ ability to identify and assess the risk of material financial statement errors, major issues concerning the adequacy of the Companies’ internal controls and material non-compliance with laws and regulations.</w:t>
            </w:r>
          </w:p>
        </w:tc>
      </w:tr>
      <w:tr w:rsidR="00631927" w:rsidRPr="00A8777F">
        <w:tblPrEx>
          <w:tblCellMar>
            <w:top w:w="0" w:type="dxa"/>
            <w:bottom w:w="0" w:type="dxa"/>
          </w:tblCellMar>
        </w:tblPrEx>
        <w:trPr>
          <w:cantSplit/>
        </w:trPr>
        <w:tc>
          <w:tcPr>
            <w:tcW w:w="2720" w:type="dxa"/>
            <w:tcBorders>
              <w:top w:val="nil"/>
              <w:bottom w:val="nil"/>
            </w:tcBorders>
          </w:tcPr>
          <w:p w:rsidR="00631927" w:rsidRPr="00A8777F" w:rsidRDefault="00631927" w:rsidP="00565A86">
            <w:pPr>
              <w:spacing w:after="240"/>
              <w:rPr>
                <w:rFonts w:ascii="Arial" w:hAnsi="Arial" w:cs="Arial"/>
                <w:sz w:val="22"/>
                <w:szCs w:val="22"/>
              </w:rPr>
            </w:pPr>
          </w:p>
        </w:tc>
        <w:tc>
          <w:tcPr>
            <w:tcW w:w="7110" w:type="dxa"/>
            <w:tcBorders>
              <w:top w:val="nil"/>
              <w:bottom w:val="nil"/>
            </w:tcBorders>
          </w:tcPr>
          <w:p w:rsidR="00631927" w:rsidRPr="00A8777F" w:rsidRDefault="00631927" w:rsidP="00565A86">
            <w:pPr>
              <w:pStyle w:val="Heading3"/>
              <w:rPr>
                <w:rFonts w:ascii="Arial" w:hAnsi="Arial" w:cs="Arial"/>
                <w:sz w:val="22"/>
                <w:szCs w:val="22"/>
              </w:rPr>
            </w:pPr>
            <w:r w:rsidRPr="00A8777F">
              <w:rPr>
                <w:rFonts w:ascii="Arial" w:hAnsi="Arial" w:cs="Arial"/>
                <w:sz w:val="22"/>
                <w:szCs w:val="22"/>
              </w:rPr>
              <w:t>Assess, on an annual basis, the independence of the external auditors.  This assessment will be based, in part, on a written report provided by management concerning fees paid to external auditors for all services provided, as well as, any existing relationships that could affect independence.</w:t>
            </w:r>
          </w:p>
        </w:tc>
      </w:tr>
      <w:tr w:rsidR="00631927" w:rsidRPr="00A8777F">
        <w:tblPrEx>
          <w:tblCellMar>
            <w:top w:w="0" w:type="dxa"/>
            <w:bottom w:w="0" w:type="dxa"/>
          </w:tblCellMar>
        </w:tblPrEx>
        <w:trPr>
          <w:cantSplit/>
        </w:trPr>
        <w:tc>
          <w:tcPr>
            <w:tcW w:w="2720" w:type="dxa"/>
            <w:tcBorders>
              <w:top w:val="nil"/>
              <w:bottom w:val="nil"/>
            </w:tcBorders>
          </w:tcPr>
          <w:p w:rsidR="00631927" w:rsidRPr="00A8777F" w:rsidRDefault="00631927" w:rsidP="00565A86">
            <w:pPr>
              <w:rPr>
                <w:rFonts w:ascii="Arial" w:hAnsi="Arial" w:cs="Arial"/>
                <w:sz w:val="22"/>
                <w:szCs w:val="22"/>
              </w:rPr>
            </w:pPr>
          </w:p>
        </w:tc>
        <w:tc>
          <w:tcPr>
            <w:tcW w:w="7110" w:type="dxa"/>
            <w:tcBorders>
              <w:top w:val="nil"/>
              <w:bottom w:val="nil"/>
            </w:tcBorders>
          </w:tcPr>
          <w:p w:rsidR="00631927" w:rsidRPr="00A8777F" w:rsidRDefault="00631927" w:rsidP="00565A86">
            <w:pPr>
              <w:pStyle w:val="Heading3"/>
              <w:rPr>
                <w:rFonts w:ascii="Arial" w:hAnsi="Arial" w:cs="Arial"/>
                <w:sz w:val="22"/>
                <w:szCs w:val="22"/>
              </w:rPr>
            </w:pPr>
            <w:r w:rsidRPr="00A8777F">
              <w:rPr>
                <w:rFonts w:ascii="Arial" w:hAnsi="Arial" w:cs="Arial"/>
                <w:sz w:val="22"/>
                <w:szCs w:val="22"/>
              </w:rPr>
              <w:t xml:space="preserve">Obtain and review a report from the external auditor at least annually regarding (i) the external auditor’s internal quality-control procedures; (ii) any material issue raised by any internal quality-control review, peer review of the firm, or any inquiry or investigation by governmental or professional authorities within the preceding five years respecting one or more independent audits carried out by the firm; (iii) any steps taken to deal with any such issues; and (iv) all relationships between the external auditor and the Companies.  </w:t>
            </w:r>
          </w:p>
          <w:p w:rsidR="00631927" w:rsidRPr="00A8777F" w:rsidRDefault="00631927" w:rsidP="00565A86">
            <w:pPr>
              <w:pStyle w:val="Heading3"/>
              <w:rPr>
                <w:rFonts w:ascii="Arial" w:hAnsi="Arial" w:cs="Arial"/>
                <w:sz w:val="22"/>
                <w:szCs w:val="22"/>
              </w:rPr>
            </w:pPr>
            <w:r w:rsidRPr="00A8777F">
              <w:rPr>
                <w:rFonts w:ascii="Arial" w:hAnsi="Arial" w:cs="Arial"/>
                <w:sz w:val="22"/>
                <w:szCs w:val="22"/>
              </w:rPr>
              <w:t>Evaluate the qualifications, performance and independence of the external auditor.  This evaluation will include consideration of the opinions of management, the adequacy of the auditor’s quality controls, and whether the provision of any permitted non-audit services is compatible with maintaining the auditor’s independence.</w:t>
            </w:r>
          </w:p>
        </w:tc>
      </w:tr>
      <w:tr w:rsidR="00631927" w:rsidRPr="00A8777F" w:rsidTr="00A41DD8">
        <w:tblPrEx>
          <w:tblCellMar>
            <w:top w:w="0" w:type="dxa"/>
            <w:bottom w:w="0" w:type="dxa"/>
          </w:tblCellMar>
        </w:tblPrEx>
        <w:trPr>
          <w:cantSplit/>
        </w:trPr>
        <w:tc>
          <w:tcPr>
            <w:tcW w:w="2720" w:type="dxa"/>
            <w:tcBorders>
              <w:top w:val="nil"/>
              <w:bottom w:val="nil"/>
            </w:tcBorders>
          </w:tcPr>
          <w:p w:rsidR="00631927" w:rsidRPr="00A8777F" w:rsidRDefault="00631927" w:rsidP="00565A86">
            <w:pPr>
              <w:rPr>
                <w:rFonts w:ascii="Arial" w:hAnsi="Arial" w:cs="Arial"/>
                <w:sz w:val="22"/>
                <w:szCs w:val="22"/>
              </w:rPr>
            </w:pPr>
          </w:p>
        </w:tc>
        <w:tc>
          <w:tcPr>
            <w:tcW w:w="7110" w:type="dxa"/>
            <w:tcBorders>
              <w:top w:val="nil"/>
              <w:bottom w:val="nil"/>
            </w:tcBorders>
          </w:tcPr>
          <w:p w:rsidR="00631927" w:rsidRPr="00A8777F" w:rsidRDefault="00631927" w:rsidP="00565A86">
            <w:pPr>
              <w:pStyle w:val="Heading3"/>
              <w:rPr>
                <w:rFonts w:ascii="Arial" w:hAnsi="Arial" w:cs="Arial"/>
                <w:sz w:val="22"/>
                <w:szCs w:val="22"/>
              </w:rPr>
            </w:pPr>
            <w:r w:rsidRPr="00A8777F">
              <w:rPr>
                <w:rFonts w:ascii="Arial" w:hAnsi="Arial" w:cs="Arial"/>
                <w:sz w:val="22"/>
                <w:szCs w:val="22"/>
              </w:rPr>
              <w:t>Assess, on an annual basis, the length of time that the lead partner has been engaged on the audit and, if the period of time is greater than five years, whether rotation is necessary.</w:t>
            </w:r>
          </w:p>
        </w:tc>
      </w:tr>
      <w:tr w:rsidR="00631927" w:rsidRPr="00A8777F" w:rsidTr="00A41DD8">
        <w:tblPrEx>
          <w:tblCellMar>
            <w:top w:w="0" w:type="dxa"/>
            <w:bottom w:w="0" w:type="dxa"/>
          </w:tblCellMar>
        </w:tblPrEx>
        <w:trPr>
          <w:cantSplit/>
        </w:trPr>
        <w:tc>
          <w:tcPr>
            <w:tcW w:w="2720" w:type="dxa"/>
            <w:tcBorders>
              <w:top w:val="nil"/>
              <w:left w:val="single" w:sz="4" w:space="0" w:color="auto"/>
              <w:bottom w:val="single" w:sz="4" w:space="0" w:color="auto"/>
            </w:tcBorders>
          </w:tcPr>
          <w:p w:rsidR="00631927" w:rsidRPr="00A8777F" w:rsidRDefault="00A41DD8" w:rsidP="00565A86">
            <w:pPr>
              <w:rPr>
                <w:rFonts w:ascii="Arial" w:hAnsi="Arial" w:cs="Arial"/>
                <w:sz w:val="22"/>
                <w:szCs w:val="22"/>
              </w:rPr>
            </w:pPr>
            <w:r w:rsidRPr="00A8777F">
              <w:rPr>
                <w:rFonts w:ascii="Arial" w:hAnsi="Arial" w:cs="Arial"/>
                <w:sz w:val="22"/>
                <w:szCs w:val="22"/>
              </w:rPr>
              <w:t xml:space="preserve"> </w:t>
            </w:r>
          </w:p>
        </w:tc>
        <w:tc>
          <w:tcPr>
            <w:tcW w:w="7110" w:type="dxa"/>
            <w:tcBorders>
              <w:top w:val="nil"/>
              <w:bottom w:val="single" w:sz="4" w:space="0" w:color="auto"/>
              <w:right w:val="single" w:sz="4" w:space="0" w:color="auto"/>
            </w:tcBorders>
          </w:tcPr>
          <w:p w:rsidR="00631927" w:rsidRPr="00A8777F" w:rsidRDefault="00631927" w:rsidP="00565A86">
            <w:pPr>
              <w:pStyle w:val="Heading3"/>
              <w:rPr>
                <w:rFonts w:ascii="Arial" w:hAnsi="Arial" w:cs="Arial"/>
                <w:sz w:val="22"/>
                <w:szCs w:val="22"/>
              </w:rPr>
            </w:pPr>
            <w:r w:rsidRPr="00A8777F">
              <w:rPr>
                <w:rFonts w:ascii="Arial" w:hAnsi="Arial" w:cs="Arial"/>
                <w:sz w:val="22"/>
                <w:szCs w:val="22"/>
              </w:rPr>
              <w:t>Review significant financial variations from the previous year, including disclosures in financial statements and any unadjusted audit differences.</w:t>
            </w:r>
          </w:p>
        </w:tc>
      </w:tr>
      <w:tr w:rsidR="00631927" w:rsidRPr="00A8777F" w:rsidTr="00A41DD8">
        <w:tblPrEx>
          <w:tblCellMar>
            <w:top w:w="0" w:type="dxa"/>
            <w:bottom w:w="0" w:type="dxa"/>
          </w:tblCellMar>
        </w:tblPrEx>
        <w:trPr>
          <w:cantSplit/>
        </w:trPr>
        <w:tc>
          <w:tcPr>
            <w:tcW w:w="2720" w:type="dxa"/>
            <w:tcBorders>
              <w:top w:val="single" w:sz="4" w:space="0" w:color="auto"/>
              <w:bottom w:val="nil"/>
            </w:tcBorders>
          </w:tcPr>
          <w:p w:rsidR="00631927" w:rsidRPr="00A8777F" w:rsidRDefault="00A41DD8" w:rsidP="00565A86">
            <w:pPr>
              <w:rPr>
                <w:rFonts w:ascii="Arial" w:hAnsi="Arial" w:cs="Arial"/>
                <w:sz w:val="22"/>
                <w:szCs w:val="22"/>
              </w:rPr>
            </w:pPr>
            <w:r w:rsidRPr="00A8777F">
              <w:rPr>
                <w:rFonts w:ascii="Arial" w:hAnsi="Arial" w:cs="Arial"/>
                <w:sz w:val="22"/>
                <w:szCs w:val="22"/>
              </w:rPr>
              <w:lastRenderedPageBreak/>
              <w:t>IV. (continued)</w:t>
            </w:r>
          </w:p>
        </w:tc>
        <w:tc>
          <w:tcPr>
            <w:tcW w:w="7110" w:type="dxa"/>
            <w:tcBorders>
              <w:top w:val="single" w:sz="4" w:space="0" w:color="auto"/>
              <w:bottom w:val="nil"/>
            </w:tcBorders>
          </w:tcPr>
          <w:p w:rsidR="00631927" w:rsidRPr="00A8777F" w:rsidRDefault="00631927" w:rsidP="00565A86">
            <w:pPr>
              <w:pStyle w:val="Heading3"/>
              <w:rPr>
                <w:rFonts w:ascii="Arial" w:hAnsi="Arial" w:cs="Arial"/>
                <w:sz w:val="22"/>
                <w:szCs w:val="22"/>
              </w:rPr>
            </w:pPr>
            <w:r w:rsidRPr="00A8777F">
              <w:rPr>
                <w:rFonts w:ascii="Arial" w:hAnsi="Arial" w:cs="Arial"/>
                <w:sz w:val="22"/>
                <w:szCs w:val="22"/>
              </w:rPr>
              <w:t>Review assessment of internal controls with internal auditors annually.</w:t>
            </w:r>
          </w:p>
        </w:tc>
      </w:tr>
      <w:tr w:rsidR="00631927" w:rsidRPr="00A8777F">
        <w:tblPrEx>
          <w:tblCellMar>
            <w:top w:w="0" w:type="dxa"/>
            <w:bottom w:w="0" w:type="dxa"/>
          </w:tblCellMar>
        </w:tblPrEx>
        <w:trPr>
          <w:cantSplit/>
        </w:trPr>
        <w:tc>
          <w:tcPr>
            <w:tcW w:w="2720" w:type="dxa"/>
            <w:tcBorders>
              <w:top w:val="nil"/>
              <w:bottom w:val="nil"/>
            </w:tcBorders>
          </w:tcPr>
          <w:p w:rsidR="00631927" w:rsidRPr="00A8777F" w:rsidRDefault="00631927" w:rsidP="00565A86">
            <w:pPr>
              <w:rPr>
                <w:rFonts w:ascii="Arial" w:hAnsi="Arial" w:cs="Arial"/>
                <w:sz w:val="22"/>
                <w:szCs w:val="22"/>
              </w:rPr>
            </w:pPr>
          </w:p>
        </w:tc>
        <w:tc>
          <w:tcPr>
            <w:tcW w:w="7110" w:type="dxa"/>
            <w:tcBorders>
              <w:top w:val="nil"/>
              <w:bottom w:val="nil"/>
            </w:tcBorders>
          </w:tcPr>
          <w:p w:rsidR="00631927" w:rsidRPr="00A8777F" w:rsidRDefault="00631927" w:rsidP="00565A86">
            <w:pPr>
              <w:pStyle w:val="Heading3"/>
              <w:rPr>
                <w:rFonts w:ascii="Arial" w:hAnsi="Arial" w:cs="Arial"/>
                <w:sz w:val="22"/>
                <w:szCs w:val="22"/>
              </w:rPr>
            </w:pPr>
            <w:r w:rsidRPr="00A8777F">
              <w:rPr>
                <w:rFonts w:ascii="Arial" w:hAnsi="Arial" w:cs="Arial"/>
                <w:sz w:val="22"/>
                <w:szCs w:val="22"/>
              </w:rPr>
              <w:t>Ensure that the external auditors provide to the Committee, at least annually:</w:t>
            </w:r>
          </w:p>
        </w:tc>
      </w:tr>
      <w:tr w:rsidR="00631927" w:rsidRPr="00A8777F">
        <w:tblPrEx>
          <w:tblCellMar>
            <w:top w:w="0" w:type="dxa"/>
            <w:bottom w:w="0" w:type="dxa"/>
          </w:tblCellMar>
        </w:tblPrEx>
        <w:trPr>
          <w:cantSplit/>
        </w:trPr>
        <w:tc>
          <w:tcPr>
            <w:tcW w:w="2720" w:type="dxa"/>
            <w:tcBorders>
              <w:top w:val="nil"/>
              <w:bottom w:val="nil"/>
            </w:tcBorders>
          </w:tcPr>
          <w:p w:rsidR="00631927" w:rsidRPr="00A8777F" w:rsidRDefault="00631927" w:rsidP="00565A86">
            <w:pPr>
              <w:rPr>
                <w:rFonts w:ascii="Arial" w:hAnsi="Arial" w:cs="Arial"/>
                <w:sz w:val="22"/>
                <w:szCs w:val="22"/>
              </w:rPr>
            </w:pPr>
          </w:p>
        </w:tc>
        <w:tc>
          <w:tcPr>
            <w:tcW w:w="7110" w:type="dxa"/>
            <w:tcBorders>
              <w:top w:val="nil"/>
              <w:bottom w:val="nil"/>
            </w:tcBorders>
          </w:tcPr>
          <w:p w:rsidR="00631927" w:rsidRPr="00A8777F" w:rsidRDefault="00631927" w:rsidP="00565A86">
            <w:pPr>
              <w:pStyle w:val="ListNumber"/>
              <w:tabs>
                <w:tab w:val="clear" w:pos="1440"/>
                <w:tab w:val="num" w:pos="1055"/>
              </w:tabs>
              <w:ind w:left="1055" w:hanging="360"/>
              <w:rPr>
                <w:rFonts w:ascii="Arial" w:hAnsi="Arial" w:cs="Arial"/>
                <w:sz w:val="22"/>
                <w:szCs w:val="22"/>
              </w:rPr>
            </w:pPr>
            <w:r w:rsidRPr="00A8777F">
              <w:rPr>
                <w:rFonts w:ascii="Arial" w:hAnsi="Arial" w:cs="Arial"/>
                <w:sz w:val="22"/>
                <w:szCs w:val="22"/>
              </w:rPr>
              <w:t>Independent judgments about the appropriateness of the Companies’ current or proposed accounting principles, policies, practices and disclosures, and whether current or proposed accounting principles are clear.</w:t>
            </w:r>
          </w:p>
        </w:tc>
      </w:tr>
      <w:tr w:rsidR="00631927" w:rsidRPr="00A8777F">
        <w:tblPrEx>
          <w:tblCellMar>
            <w:top w:w="0" w:type="dxa"/>
            <w:bottom w:w="0" w:type="dxa"/>
          </w:tblCellMar>
        </w:tblPrEx>
        <w:trPr>
          <w:cantSplit/>
        </w:trPr>
        <w:tc>
          <w:tcPr>
            <w:tcW w:w="2720" w:type="dxa"/>
            <w:tcBorders>
              <w:top w:val="nil"/>
              <w:bottom w:val="nil"/>
            </w:tcBorders>
          </w:tcPr>
          <w:p w:rsidR="00631927" w:rsidRPr="00A8777F" w:rsidRDefault="00631927" w:rsidP="00565A86">
            <w:pPr>
              <w:rPr>
                <w:rFonts w:ascii="Arial" w:hAnsi="Arial" w:cs="Arial"/>
                <w:sz w:val="22"/>
                <w:szCs w:val="22"/>
              </w:rPr>
            </w:pPr>
          </w:p>
        </w:tc>
        <w:tc>
          <w:tcPr>
            <w:tcW w:w="7110" w:type="dxa"/>
            <w:tcBorders>
              <w:top w:val="nil"/>
              <w:bottom w:val="nil"/>
            </w:tcBorders>
          </w:tcPr>
          <w:p w:rsidR="00631927" w:rsidRPr="00A8777F" w:rsidRDefault="00631927" w:rsidP="00565A86">
            <w:pPr>
              <w:pStyle w:val="ListNumber"/>
              <w:tabs>
                <w:tab w:val="clear" w:pos="1440"/>
                <w:tab w:val="num" w:pos="1055"/>
              </w:tabs>
              <w:ind w:left="1055" w:hanging="360"/>
              <w:rPr>
                <w:rFonts w:ascii="Arial" w:hAnsi="Arial" w:cs="Arial"/>
                <w:sz w:val="22"/>
                <w:szCs w:val="22"/>
              </w:rPr>
            </w:pPr>
            <w:r w:rsidRPr="00A8777F">
              <w:rPr>
                <w:rFonts w:ascii="Arial" w:hAnsi="Arial" w:cs="Arial"/>
                <w:sz w:val="22"/>
                <w:szCs w:val="22"/>
              </w:rPr>
              <w:t>A statement on whether the accounting principles chosen by management are conservative, moderate or aggressive as they relate to income, asset and liability recognition and whether these accounting principles are commonly used.</w:t>
            </w:r>
          </w:p>
        </w:tc>
      </w:tr>
      <w:tr w:rsidR="00631927" w:rsidRPr="00A8777F">
        <w:tblPrEx>
          <w:tblCellMar>
            <w:top w:w="0" w:type="dxa"/>
            <w:bottom w:w="0" w:type="dxa"/>
          </w:tblCellMar>
        </w:tblPrEx>
        <w:trPr>
          <w:cantSplit/>
        </w:trPr>
        <w:tc>
          <w:tcPr>
            <w:tcW w:w="2720" w:type="dxa"/>
            <w:tcBorders>
              <w:top w:val="nil"/>
              <w:bottom w:val="nil"/>
            </w:tcBorders>
          </w:tcPr>
          <w:p w:rsidR="00631927" w:rsidRPr="00A8777F" w:rsidRDefault="00631927" w:rsidP="00565A86">
            <w:pPr>
              <w:rPr>
                <w:rFonts w:ascii="Arial" w:hAnsi="Arial" w:cs="Arial"/>
                <w:sz w:val="22"/>
                <w:szCs w:val="22"/>
              </w:rPr>
            </w:pPr>
          </w:p>
        </w:tc>
        <w:tc>
          <w:tcPr>
            <w:tcW w:w="7110" w:type="dxa"/>
            <w:tcBorders>
              <w:top w:val="nil"/>
              <w:bottom w:val="nil"/>
            </w:tcBorders>
          </w:tcPr>
          <w:p w:rsidR="00631927" w:rsidRPr="00A8777F" w:rsidRDefault="00631927" w:rsidP="00565A86">
            <w:pPr>
              <w:pStyle w:val="ListNumber"/>
              <w:tabs>
                <w:tab w:val="clear" w:pos="1440"/>
                <w:tab w:val="num" w:pos="1055"/>
              </w:tabs>
              <w:ind w:left="1055" w:hanging="360"/>
              <w:rPr>
                <w:rFonts w:ascii="Arial" w:hAnsi="Arial" w:cs="Arial"/>
                <w:sz w:val="22"/>
                <w:szCs w:val="22"/>
              </w:rPr>
            </w:pPr>
            <w:r w:rsidRPr="00A8777F">
              <w:rPr>
                <w:rFonts w:ascii="Arial" w:hAnsi="Arial" w:cs="Arial"/>
                <w:sz w:val="22"/>
                <w:szCs w:val="22"/>
              </w:rPr>
              <w:t>Reasons for accepting or questioning significant estimates made by management.</w:t>
            </w:r>
          </w:p>
        </w:tc>
      </w:tr>
      <w:tr w:rsidR="00631927" w:rsidRPr="00A8777F">
        <w:tblPrEx>
          <w:tblCellMar>
            <w:top w:w="0" w:type="dxa"/>
            <w:bottom w:w="0" w:type="dxa"/>
          </w:tblCellMar>
        </w:tblPrEx>
        <w:trPr>
          <w:cantSplit/>
        </w:trPr>
        <w:tc>
          <w:tcPr>
            <w:tcW w:w="2720" w:type="dxa"/>
            <w:tcBorders>
              <w:top w:val="nil"/>
              <w:bottom w:val="nil"/>
            </w:tcBorders>
          </w:tcPr>
          <w:p w:rsidR="00631927" w:rsidRPr="00A8777F" w:rsidRDefault="00631927" w:rsidP="00565A86">
            <w:pPr>
              <w:rPr>
                <w:rFonts w:ascii="Arial" w:hAnsi="Arial" w:cs="Arial"/>
                <w:sz w:val="22"/>
                <w:szCs w:val="22"/>
              </w:rPr>
            </w:pPr>
          </w:p>
        </w:tc>
        <w:tc>
          <w:tcPr>
            <w:tcW w:w="7110" w:type="dxa"/>
            <w:tcBorders>
              <w:top w:val="nil"/>
              <w:bottom w:val="nil"/>
            </w:tcBorders>
          </w:tcPr>
          <w:p w:rsidR="00631927" w:rsidRPr="00A8777F" w:rsidRDefault="00631927" w:rsidP="00565A86">
            <w:pPr>
              <w:pStyle w:val="ListNumber"/>
              <w:tabs>
                <w:tab w:val="clear" w:pos="1440"/>
                <w:tab w:val="num" w:pos="1055"/>
              </w:tabs>
              <w:ind w:left="1055" w:hanging="360"/>
              <w:rPr>
                <w:rFonts w:ascii="Arial" w:hAnsi="Arial" w:cs="Arial"/>
                <w:sz w:val="22"/>
                <w:szCs w:val="22"/>
              </w:rPr>
            </w:pPr>
            <w:r w:rsidRPr="00A8777F">
              <w:rPr>
                <w:rFonts w:ascii="Arial" w:hAnsi="Arial" w:cs="Arial"/>
                <w:sz w:val="22"/>
                <w:szCs w:val="22"/>
              </w:rPr>
              <w:t>All alternative treatments of financial information within generally accepted accounting principles that have been discussed with management, ramifications of the use of such alternative disclosures and treatments, and the treatment preferred by the external auditor.</w:t>
            </w:r>
          </w:p>
        </w:tc>
      </w:tr>
      <w:tr w:rsidR="00631927" w:rsidRPr="00A8777F" w:rsidTr="00A41DD8">
        <w:tblPrEx>
          <w:tblCellMar>
            <w:top w:w="0" w:type="dxa"/>
            <w:bottom w:w="0" w:type="dxa"/>
          </w:tblCellMar>
        </w:tblPrEx>
        <w:trPr>
          <w:cantSplit/>
        </w:trPr>
        <w:tc>
          <w:tcPr>
            <w:tcW w:w="2720" w:type="dxa"/>
            <w:tcBorders>
              <w:top w:val="nil"/>
              <w:bottom w:val="nil"/>
            </w:tcBorders>
          </w:tcPr>
          <w:p w:rsidR="00631927" w:rsidRPr="00A8777F" w:rsidRDefault="00631927" w:rsidP="00565A86">
            <w:pPr>
              <w:pStyle w:val="Heading1"/>
              <w:numPr>
                <w:ilvl w:val="0"/>
                <w:numId w:val="0"/>
              </w:numPr>
              <w:rPr>
                <w:rFonts w:ascii="Arial" w:hAnsi="Arial" w:cs="Arial"/>
                <w:sz w:val="22"/>
                <w:szCs w:val="22"/>
              </w:rPr>
            </w:pPr>
          </w:p>
        </w:tc>
        <w:tc>
          <w:tcPr>
            <w:tcW w:w="7110" w:type="dxa"/>
            <w:tcBorders>
              <w:top w:val="nil"/>
              <w:bottom w:val="nil"/>
            </w:tcBorders>
          </w:tcPr>
          <w:p w:rsidR="00631927" w:rsidRPr="00A8777F" w:rsidRDefault="00631927" w:rsidP="00334637">
            <w:pPr>
              <w:pStyle w:val="ListNumber"/>
              <w:tabs>
                <w:tab w:val="clear" w:pos="1440"/>
                <w:tab w:val="num" w:pos="1055"/>
              </w:tabs>
              <w:ind w:left="1055" w:hanging="360"/>
              <w:rPr>
                <w:rFonts w:ascii="Arial" w:hAnsi="Arial" w:cs="Arial"/>
                <w:sz w:val="22"/>
                <w:szCs w:val="22"/>
              </w:rPr>
            </w:pPr>
            <w:r w:rsidRPr="00A8777F">
              <w:rPr>
                <w:rFonts w:ascii="Arial" w:hAnsi="Arial" w:cs="Arial"/>
                <w:sz w:val="22"/>
                <w:szCs w:val="22"/>
              </w:rPr>
              <w:t>A discussion of material communications between the external auditor and management</w:t>
            </w:r>
            <w:r w:rsidR="00334637">
              <w:rPr>
                <w:rFonts w:ascii="Arial" w:hAnsi="Arial" w:cs="Arial"/>
                <w:sz w:val="22"/>
                <w:szCs w:val="22"/>
              </w:rPr>
              <w:t>, including but not limited to copies of current engagement letters</w:t>
            </w:r>
            <w:r w:rsidRPr="00A8777F">
              <w:rPr>
                <w:rFonts w:ascii="Arial" w:hAnsi="Arial" w:cs="Arial"/>
                <w:sz w:val="22"/>
                <w:szCs w:val="22"/>
              </w:rPr>
              <w:t>.</w:t>
            </w:r>
          </w:p>
        </w:tc>
      </w:tr>
      <w:tr w:rsidR="00631927" w:rsidRPr="00A8777F" w:rsidTr="00A41DD8">
        <w:tblPrEx>
          <w:tblCellMar>
            <w:top w:w="0" w:type="dxa"/>
            <w:bottom w:w="0" w:type="dxa"/>
          </w:tblCellMar>
        </w:tblPrEx>
        <w:trPr>
          <w:cantSplit/>
        </w:trPr>
        <w:tc>
          <w:tcPr>
            <w:tcW w:w="2720" w:type="dxa"/>
            <w:tcBorders>
              <w:top w:val="nil"/>
              <w:bottom w:val="nil"/>
            </w:tcBorders>
          </w:tcPr>
          <w:p w:rsidR="00631927" w:rsidRPr="00A8777F" w:rsidRDefault="00631927" w:rsidP="00565A86">
            <w:pPr>
              <w:rPr>
                <w:rFonts w:ascii="Arial" w:hAnsi="Arial" w:cs="Arial"/>
                <w:sz w:val="22"/>
                <w:szCs w:val="22"/>
              </w:rPr>
            </w:pPr>
          </w:p>
        </w:tc>
        <w:tc>
          <w:tcPr>
            <w:tcW w:w="7110" w:type="dxa"/>
            <w:tcBorders>
              <w:top w:val="nil"/>
              <w:bottom w:val="nil"/>
            </w:tcBorders>
          </w:tcPr>
          <w:p w:rsidR="00631927" w:rsidRPr="00A8777F" w:rsidRDefault="00631927" w:rsidP="00565A86">
            <w:pPr>
              <w:pStyle w:val="ListNumber"/>
              <w:tabs>
                <w:tab w:val="clear" w:pos="1440"/>
                <w:tab w:val="num" w:pos="1055"/>
              </w:tabs>
              <w:ind w:left="1055" w:hanging="360"/>
              <w:rPr>
                <w:rFonts w:ascii="Arial" w:hAnsi="Arial" w:cs="Arial"/>
                <w:sz w:val="22"/>
                <w:szCs w:val="22"/>
              </w:rPr>
            </w:pPr>
            <w:r w:rsidRPr="00A8777F">
              <w:rPr>
                <w:rFonts w:ascii="Arial" w:hAnsi="Arial" w:cs="Arial"/>
                <w:sz w:val="22"/>
                <w:szCs w:val="22"/>
              </w:rPr>
              <w:t>The effect of regulatory and accounting initiatives on the Companies’ financial statements.</w:t>
            </w:r>
          </w:p>
        </w:tc>
      </w:tr>
      <w:tr w:rsidR="00631927" w:rsidRPr="00A8777F" w:rsidTr="00A41DD8">
        <w:tblPrEx>
          <w:tblCellMar>
            <w:top w:w="0" w:type="dxa"/>
            <w:bottom w:w="0" w:type="dxa"/>
          </w:tblCellMar>
        </w:tblPrEx>
        <w:trPr>
          <w:cantSplit/>
        </w:trPr>
        <w:tc>
          <w:tcPr>
            <w:tcW w:w="2720" w:type="dxa"/>
            <w:tcBorders>
              <w:top w:val="nil"/>
              <w:bottom w:val="nil"/>
            </w:tcBorders>
          </w:tcPr>
          <w:p w:rsidR="00631927" w:rsidRPr="00A8777F" w:rsidRDefault="00A41DD8" w:rsidP="00565A86">
            <w:pPr>
              <w:rPr>
                <w:rFonts w:ascii="Arial" w:hAnsi="Arial" w:cs="Arial"/>
                <w:sz w:val="22"/>
                <w:szCs w:val="22"/>
              </w:rPr>
            </w:pPr>
            <w:r w:rsidRPr="00A8777F">
              <w:rPr>
                <w:rFonts w:ascii="Arial" w:hAnsi="Arial" w:cs="Arial"/>
                <w:sz w:val="22"/>
                <w:szCs w:val="22"/>
              </w:rPr>
              <w:t xml:space="preserve"> </w:t>
            </w:r>
          </w:p>
        </w:tc>
        <w:tc>
          <w:tcPr>
            <w:tcW w:w="7110" w:type="dxa"/>
            <w:tcBorders>
              <w:top w:val="nil"/>
              <w:bottom w:val="nil"/>
            </w:tcBorders>
          </w:tcPr>
          <w:p w:rsidR="00631927" w:rsidRPr="00A8777F" w:rsidRDefault="00631927" w:rsidP="00565A86">
            <w:pPr>
              <w:pStyle w:val="ListNumber"/>
              <w:tabs>
                <w:tab w:val="clear" w:pos="1440"/>
                <w:tab w:val="num" w:pos="1055"/>
              </w:tabs>
              <w:ind w:left="1055" w:hanging="360"/>
              <w:rPr>
                <w:rFonts w:ascii="Arial" w:hAnsi="Arial" w:cs="Arial"/>
                <w:sz w:val="22"/>
                <w:szCs w:val="22"/>
              </w:rPr>
            </w:pPr>
            <w:r w:rsidRPr="00A8777F">
              <w:rPr>
                <w:rFonts w:ascii="Arial" w:hAnsi="Arial" w:cs="Arial"/>
                <w:sz w:val="22"/>
                <w:szCs w:val="22"/>
              </w:rPr>
              <w:t>Any significant deficiencies in the design or operation of internal controls which could adversely affect the Companies’ ability to record, process, summarize and report financial data.</w:t>
            </w:r>
          </w:p>
          <w:p w:rsidR="00631927" w:rsidRPr="00A8777F" w:rsidRDefault="00631927" w:rsidP="00565A86">
            <w:pPr>
              <w:pStyle w:val="ListNumber"/>
              <w:tabs>
                <w:tab w:val="clear" w:pos="1440"/>
                <w:tab w:val="num" w:pos="1055"/>
              </w:tabs>
              <w:ind w:left="1055" w:hanging="360"/>
              <w:rPr>
                <w:rFonts w:ascii="Arial" w:hAnsi="Arial" w:cs="Arial"/>
                <w:sz w:val="22"/>
                <w:szCs w:val="22"/>
              </w:rPr>
            </w:pPr>
            <w:r w:rsidRPr="00A8777F">
              <w:rPr>
                <w:rFonts w:ascii="Arial" w:hAnsi="Arial" w:cs="Arial"/>
                <w:sz w:val="22"/>
                <w:szCs w:val="22"/>
              </w:rPr>
              <w:t>Any material weaknesses to the Companies’ internal controls.</w:t>
            </w:r>
          </w:p>
          <w:p w:rsidR="00631927" w:rsidRPr="00A8777F" w:rsidRDefault="00631927" w:rsidP="00565A86">
            <w:pPr>
              <w:pStyle w:val="ListNumber"/>
              <w:tabs>
                <w:tab w:val="clear" w:pos="1440"/>
                <w:tab w:val="num" w:pos="1055"/>
              </w:tabs>
              <w:ind w:left="1055" w:hanging="360"/>
              <w:rPr>
                <w:rFonts w:ascii="Arial" w:hAnsi="Arial" w:cs="Arial"/>
                <w:sz w:val="22"/>
                <w:szCs w:val="22"/>
              </w:rPr>
            </w:pPr>
            <w:r w:rsidRPr="00A8777F">
              <w:rPr>
                <w:rFonts w:ascii="Arial" w:hAnsi="Arial" w:cs="Arial"/>
                <w:sz w:val="22"/>
                <w:szCs w:val="22"/>
              </w:rPr>
              <w:t>Any fraud, whether or not material, that involves management or other employees who have a significant role in the Companies’ internal controls.</w:t>
            </w:r>
          </w:p>
        </w:tc>
      </w:tr>
      <w:tr w:rsidR="00631927" w:rsidRPr="00A8777F" w:rsidTr="004A122B">
        <w:tblPrEx>
          <w:tblCellMar>
            <w:top w:w="0" w:type="dxa"/>
            <w:bottom w:w="0" w:type="dxa"/>
          </w:tblCellMar>
        </w:tblPrEx>
        <w:trPr>
          <w:cantSplit/>
        </w:trPr>
        <w:tc>
          <w:tcPr>
            <w:tcW w:w="2720" w:type="dxa"/>
            <w:tcBorders>
              <w:top w:val="nil"/>
              <w:bottom w:val="single" w:sz="4" w:space="0" w:color="auto"/>
            </w:tcBorders>
          </w:tcPr>
          <w:p w:rsidR="00631927" w:rsidRPr="00A8777F" w:rsidRDefault="00631927" w:rsidP="00565A86">
            <w:pPr>
              <w:rPr>
                <w:rFonts w:ascii="Arial" w:hAnsi="Arial" w:cs="Arial"/>
                <w:sz w:val="22"/>
                <w:szCs w:val="22"/>
              </w:rPr>
            </w:pPr>
          </w:p>
        </w:tc>
        <w:tc>
          <w:tcPr>
            <w:tcW w:w="7110" w:type="dxa"/>
            <w:tcBorders>
              <w:top w:val="nil"/>
              <w:bottom w:val="single" w:sz="4" w:space="0" w:color="auto"/>
            </w:tcBorders>
          </w:tcPr>
          <w:p w:rsidR="00631927" w:rsidRPr="00A8777F" w:rsidRDefault="00631927" w:rsidP="00565A86">
            <w:pPr>
              <w:pStyle w:val="ListNumber"/>
              <w:tabs>
                <w:tab w:val="clear" w:pos="1440"/>
                <w:tab w:val="num" w:pos="1055"/>
              </w:tabs>
              <w:ind w:left="1055" w:hanging="360"/>
              <w:rPr>
                <w:rFonts w:ascii="Arial" w:hAnsi="Arial" w:cs="Arial"/>
                <w:sz w:val="22"/>
                <w:szCs w:val="22"/>
              </w:rPr>
            </w:pPr>
            <w:r w:rsidRPr="00A8777F">
              <w:rPr>
                <w:rFonts w:ascii="Arial" w:hAnsi="Arial" w:cs="Arial"/>
                <w:sz w:val="22"/>
                <w:szCs w:val="22"/>
              </w:rPr>
              <w:t>Information regarding the nature of any disagreements between management and external auditors.</w:t>
            </w:r>
          </w:p>
        </w:tc>
      </w:tr>
      <w:tr w:rsidR="00631927" w:rsidRPr="00416D10" w:rsidTr="004A122B">
        <w:tblPrEx>
          <w:tblCellMar>
            <w:top w:w="0" w:type="dxa"/>
            <w:bottom w:w="0" w:type="dxa"/>
          </w:tblCellMar>
        </w:tblPrEx>
        <w:trPr>
          <w:cantSplit/>
        </w:trPr>
        <w:tc>
          <w:tcPr>
            <w:tcW w:w="2720" w:type="dxa"/>
            <w:tcBorders>
              <w:top w:val="single" w:sz="4" w:space="0" w:color="auto"/>
              <w:bottom w:val="nil"/>
            </w:tcBorders>
          </w:tcPr>
          <w:p w:rsidR="00631927" w:rsidRPr="00416D10" w:rsidRDefault="00A41DD8" w:rsidP="00565A86">
            <w:pPr>
              <w:rPr>
                <w:rFonts w:ascii="Arial" w:hAnsi="Arial" w:cs="Arial"/>
                <w:sz w:val="22"/>
                <w:szCs w:val="22"/>
              </w:rPr>
            </w:pPr>
            <w:r w:rsidRPr="00416D10">
              <w:rPr>
                <w:rFonts w:ascii="Arial" w:hAnsi="Arial" w:cs="Arial"/>
                <w:sz w:val="22"/>
                <w:szCs w:val="22"/>
              </w:rPr>
              <w:lastRenderedPageBreak/>
              <w:t>I</w:t>
            </w:r>
            <w:r w:rsidR="00C44418" w:rsidRPr="00416D10">
              <w:rPr>
                <w:rFonts w:ascii="Arial" w:hAnsi="Arial" w:cs="Arial"/>
                <w:sz w:val="22"/>
                <w:szCs w:val="22"/>
              </w:rPr>
              <w:t>V.</w:t>
            </w:r>
            <w:r w:rsidR="00357F1F" w:rsidRPr="00416D10">
              <w:rPr>
                <w:rFonts w:ascii="Arial" w:hAnsi="Arial" w:cs="Arial"/>
                <w:sz w:val="22"/>
                <w:szCs w:val="22"/>
              </w:rPr>
              <w:t xml:space="preserve">  (continued)</w:t>
            </w:r>
          </w:p>
        </w:tc>
        <w:tc>
          <w:tcPr>
            <w:tcW w:w="7110" w:type="dxa"/>
            <w:tcBorders>
              <w:top w:val="single" w:sz="4" w:space="0" w:color="auto"/>
              <w:bottom w:val="nil"/>
            </w:tcBorders>
          </w:tcPr>
          <w:p w:rsidR="00631927" w:rsidRPr="00416D10" w:rsidRDefault="00631927" w:rsidP="00565A86">
            <w:pPr>
              <w:pStyle w:val="Heading2"/>
              <w:rPr>
                <w:rFonts w:ascii="Arial" w:hAnsi="Arial" w:cs="Arial"/>
                <w:sz w:val="22"/>
                <w:szCs w:val="22"/>
                <w:u w:val="single"/>
              </w:rPr>
            </w:pPr>
            <w:r w:rsidRPr="00416D10">
              <w:rPr>
                <w:rFonts w:ascii="Arial" w:hAnsi="Arial" w:cs="Arial"/>
                <w:sz w:val="22"/>
                <w:szCs w:val="22"/>
                <w:u w:val="single"/>
              </w:rPr>
              <w:t>Oversight of</w:t>
            </w:r>
            <w:r w:rsidR="005F3BF1" w:rsidRPr="00416D10">
              <w:rPr>
                <w:rFonts w:ascii="Arial" w:hAnsi="Arial" w:cs="Arial"/>
                <w:sz w:val="22"/>
                <w:szCs w:val="22"/>
                <w:u w:val="single"/>
              </w:rPr>
              <w:t>:</w:t>
            </w:r>
            <w:r w:rsidRPr="00416D10">
              <w:rPr>
                <w:rFonts w:ascii="Arial" w:hAnsi="Arial" w:cs="Arial"/>
                <w:sz w:val="22"/>
                <w:szCs w:val="22"/>
                <w:u w:val="single"/>
              </w:rPr>
              <w:t xml:space="preserve"> </w:t>
            </w:r>
            <w:r w:rsidR="005F3BF1" w:rsidRPr="00416D10">
              <w:rPr>
                <w:rFonts w:ascii="Arial" w:hAnsi="Arial" w:cs="Arial"/>
                <w:sz w:val="22"/>
                <w:szCs w:val="22"/>
                <w:u w:val="single"/>
              </w:rPr>
              <w:t xml:space="preserve">(1) </w:t>
            </w:r>
            <w:r w:rsidR="00421924" w:rsidRPr="00416D10">
              <w:rPr>
                <w:rFonts w:ascii="Arial" w:hAnsi="Arial" w:cs="Arial"/>
                <w:sz w:val="22"/>
                <w:szCs w:val="22"/>
                <w:u w:val="single"/>
              </w:rPr>
              <w:t xml:space="preserve">the Annual Report certification process by the CEO and CFO; (2) </w:t>
            </w:r>
            <w:r w:rsidR="008A180A" w:rsidRPr="00416D10">
              <w:rPr>
                <w:rFonts w:ascii="Arial" w:hAnsi="Arial" w:cs="Arial"/>
                <w:sz w:val="22"/>
                <w:szCs w:val="22"/>
                <w:u w:val="single"/>
              </w:rPr>
              <w:t>the Company’s Enterprise Risk Management Process</w:t>
            </w:r>
            <w:r w:rsidR="005F3BF1" w:rsidRPr="00416D10">
              <w:rPr>
                <w:rFonts w:ascii="Arial" w:hAnsi="Arial" w:cs="Arial"/>
                <w:sz w:val="22"/>
                <w:szCs w:val="22"/>
                <w:u w:val="single"/>
              </w:rPr>
              <w:t xml:space="preserve">; and (3) the Company’s compliance with legal and regulatory requirements. </w:t>
            </w:r>
          </w:p>
          <w:p w:rsidR="00631927" w:rsidRPr="00416D10" w:rsidRDefault="00631927" w:rsidP="00565A86">
            <w:pPr>
              <w:pStyle w:val="BodyText"/>
              <w:tabs>
                <w:tab w:val="left" w:pos="348"/>
              </w:tabs>
              <w:rPr>
                <w:rFonts w:ascii="Arial" w:hAnsi="Arial" w:cs="Arial"/>
                <w:sz w:val="22"/>
                <w:szCs w:val="22"/>
              </w:rPr>
            </w:pPr>
            <w:r w:rsidRPr="00416D10">
              <w:rPr>
                <w:rFonts w:ascii="Arial" w:hAnsi="Arial" w:cs="Arial"/>
                <w:sz w:val="22"/>
                <w:szCs w:val="22"/>
              </w:rPr>
              <w:tab/>
              <w:t>The Committee is to:</w:t>
            </w:r>
          </w:p>
        </w:tc>
      </w:tr>
      <w:tr w:rsidR="00631927" w:rsidRPr="00416D10">
        <w:tblPrEx>
          <w:tblCellMar>
            <w:top w:w="0" w:type="dxa"/>
            <w:bottom w:w="0" w:type="dxa"/>
          </w:tblCellMar>
        </w:tblPrEx>
        <w:trPr>
          <w:cantSplit/>
        </w:trPr>
        <w:tc>
          <w:tcPr>
            <w:tcW w:w="2720" w:type="dxa"/>
            <w:tcBorders>
              <w:top w:val="nil"/>
              <w:bottom w:val="nil"/>
            </w:tcBorders>
          </w:tcPr>
          <w:p w:rsidR="00631927" w:rsidRPr="00416D10" w:rsidRDefault="00631927" w:rsidP="00565A86">
            <w:pPr>
              <w:rPr>
                <w:rFonts w:ascii="Arial" w:hAnsi="Arial" w:cs="Arial"/>
                <w:sz w:val="22"/>
                <w:szCs w:val="22"/>
              </w:rPr>
            </w:pPr>
          </w:p>
        </w:tc>
        <w:tc>
          <w:tcPr>
            <w:tcW w:w="7110" w:type="dxa"/>
            <w:tcBorders>
              <w:top w:val="nil"/>
              <w:bottom w:val="nil"/>
            </w:tcBorders>
          </w:tcPr>
          <w:p w:rsidR="00631927" w:rsidRPr="00416D10" w:rsidRDefault="00631927" w:rsidP="00565A86">
            <w:pPr>
              <w:pStyle w:val="Heading3"/>
              <w:rPr>
                <w:rFonts w:ascii="Arial" w:hAnsi="Arial" w:cs="Arial"/>
                <w:sz w:val="22"/>
                <w:szCs w:val="22"/>
              </w:rPr>
            </w:pPr>
            <w:r w:rsidRPr="00416D10">
              <w:rPr>
                <w:rFonts w:ascii="Arial" w:hAnsi="Arial" w:cs="Arial"/>
                <w:sz w:val="22"/>
                <w:szCs w:val="22"/>
              </w:rPr>
              <w:t>Oversee the requirements for the CEO and CFO to certify the annual financial statements.</w:t>
            </w:r>
          </w:p>
        </w:tc>
      </w:tr>
      <w:tr w:rsidR="00631927" w:rsidRPr="00416D10">
        <w:tblPrEx>
          <w:tblCellMar>
            <w:top w:w="0" w:type="dxa"/>
            <w:bottom w:w="0" w:type="dxa"/>
          </w:tblCellMar>
        </w:tblPrEx>
        <w:trPr>
          <w:cantSplit/>
        </w:trPr>
        <w:tc>
          <w:tcPr>
            <w:tcW w:w="2720" w:type="dxa"/>
            <w:tcBorders>
              <w:top w:val="nil"/>
              <w:bottom w:val="nil"/>
            </w:tcBorders>
          </w:tcPr>
          <w:p w:rsidR="00631927" w:rsidRPr="00416D10" w:rsidRDefault="00631927" w:rsidP="00565A86">
            <w:pPr>
              <w:rPr>
                <w:rFonts w:ascii="Arial" w:hAnsi="Arial" w:cs="Arial"/>
                <w:sz w:val="22"/>
                <w:szCs w:val="22"/>
              </w:rPr>
            </w:pPr>
          </w:p>
        </w:tc>
        <w:tc>
          <w:tcPr>
            <w:tcW w:w="7110" w:type="dxa"/>
            <w:tcBorders>
              <w:top w:val="nil"/>
              <w:bottom w:val="nil"/>
            </w:tcBorders>
          </w:tcPr>
          <w:p w:rsidR="00631927" w:rsidRPr="00416D10" w:rsidRDefault="00631927" w:rsidP="00565A86">
            <w:pPr>
              <w:pStyle w:val="Heading3"/>
              <w:rPr>
                <w:rFonts w:ascii="Arial" w:hAnsi="Arial" w:cs="Arial"/>
                <w:sz w:val="22"/>
                <w:szCs w:val="22"/>
              </w:rPr>
            </w:pPr>
            <w:r w:rsidRPr="00416D10">
              <w:rPr>
                <w:rFonts w:ascii="Arial" w:hAnsi="Arial" w:cs="Arial"/>
                <w:sz w:val="22"/>
                <w:szCs w:val="22"/>
              </w:rPr>
              <w:t>Discuss with management the Companies’ major financial</w:t>
            </w:r>
            <w:r w:rsidR="009B5A09" w:rsidRPr="00416D10">
              <w:rPr>
                <w:rFonts w:ascii="Arial" w:hAnsi="Arial" w:cs="Arial"/>
                <w:sz w:val="22"/>
                <w:szCs w:val="22"/>
              </w:rPr>
              <w:t xml:space="preserve"> &amp; operational</w:t>
            </w:r>
            <w:r w:rsidRPr="00416D10">
              <w:rPr>
                <w:rFonts w:ascii="Arial" w:hAnsi="Arial" w:cs="Arial"/>
                <w:sz w:val="22"/>
                <w:szCs w:val="22"/>
              </w:rPr>
              <w:t xml:space="preserve"> risk exposures and the steps management has taken to monitor and control such exposures.</w:t>
            </w:r>
            <w:r w:rsidR="009B5A09" w:rsidRPr="00416D10">
              <w:rPr>
                <w:rFonts w:ascii="Arial" w:hAnsi="Arial" w:cs="Arial"/>
                <w:sz w:val="22"/>
                <w:szCs w:val="22"/>
              </w:rPr>
              <w:t xml:space="preserve"> This will include periodic review of (i) the risk gov</w:t>
            </w:r>
            <w:r w:rsidR="0026601A" w:rsidRPr="00416D10">
              <w:rPr>
                <w:rFonts w:ascii="Arial" w:hAnsi="Arial" w:cs="Arial"/>
                <w:sz w:val="22"/>
                <w:szCs w:val="22"/>
              </w:rPr>
              <w:t xml:space="preserve">ernance structure; (ii) risk </w:t>
            </w:r>
            <w:r w:rsidR="007B1B32" w:rsidRPr="00416D10">
              <w:rPr>
                <w:rFonts w:ascii="Arial" w:hAnsi="Arial" w:cs="Arial"/>
                <w:sz w:val="22"/>
                <w:szCs w:val="22"/>
              </w:rPr>
              <w:t>competencies</w:t>
            </w:r>
            <w:r w:rsidR="006F1E12" w:rsidRPr="00416D10">
              <w:rPr>
                <w:rFonts w:ascii="Arial" w:hAnsi="Arial" w:cs="Arial"/>
                <w:sz w:val="22"/>
                <w:szCs w:val="22"/>
              </w:rPr>
              <w:t xml:space="preserve"> of the Companies;</w:t>
            </w:r>
            <w:r w:rsidR="007B1B32" w:rsidRPr="00416D10">
              <w:rPr>
                <w:rFonts w:ascii="Arial" w:hAnsi="Arial" w:cs="Arial"/>
                <w:sz w:val="22"/>
                <w:szCs w:val="22"/>
              </w:rPr>
              <w:t xml:space="preserve"> (iii) risk tolerance adherence for each company</w:t>
            </w:r>
            <w:r w:rsidR="00A8777F" w:rsidRPr="00416D10">
              <w:rPr>
                <w:rFonts w:ascii="Arial" w:hAnsi="Arial" w:cs="Arial"/>
                <w:sz w:val="22"/>
                <w:szCs w:val="22"/>
              </w:rPr>
              <w:t>;</w:t>
            </w:r>
            <w:r w:rsidR="006F1E12" w:rsidRPr="00416D10">
              <w:rPr>
                <w:rFonts w:ascii="Arial" w:hAnsi="Arial" w:cs="Arial"/>
                <w:sz w:val="22"/>
                <w:szCs w:val="22"/>
              </w:rPr>
              <w:t xml:space="preserve"> and </w:t>
            </w:r>
            <w:proofErr w:type="gramStart"/>
            <w:r w:rsidR="007B1B32" w:rsidRPr="00416D10">
              <w:rPr>
                <w:rFonts w:ascii="Arial" w:hAnsi="Arial" w:cs="Arial"/>
                <w:sz w:val="22"/>
                <w:szCs w:val="22"/>
              </w:rPr>
              <w:t>(iv</w:t>
            </w:r>
            <w:r w:rsidR="006F1E12" w:rsidRPr="00416D10">
              <w:rPr>
                <w:rFonts w:ascii="Arial" w:hAnsi="Arial" w:cs="Arial"/>
                <w:sz w:val="22"/>
                <w:szCs w:val="22"/>
              </w:rPr>
              <w:t>) the</w:t>
            </w:r>
            <w:proofErr w:type="gramEnd"/>
            <w:r w:rsidR="006F1E12" w:rsidRPr="00416D10">
              <w:rPr>
                <w:rFonts w:ascii="Arial" w:hAnsi="Arial" w:cs="Arial"/>
                <w:sz w:val="22"/>
                <w:szCs w:val="22"/>
              </w:rPr>
              <w:t xml:space="preserve"> risk management strategy and associated risk management initiatives and how both support the business strategy and business models of the Companies.</w:t>
            </w:r>
            <w:r w:rsidR="009B5A09" w:rsidRPr="00416D10">
              <w:rPr>
                <w:rFonts w:ascii="Arial" w:hAnsi="Arial" w:cs="Arial"/>
                <w:sz w:val="22"/>
                <w:szCs w:val="22"/>
              </w:rPr>
              <w:t xml:space="preserve"> </w:t>
            </w:r>
          </w:p>
          <w:p w:rsidR="004A08E8" w:rsidRPr="00416D10" w:rsidRDefault="004A08E8" w:rsidP="00A8777F">
            <w:pPr>
              <w:pStyle w:val="BodyText"/>
              <w:ind w:left="695"/>
              <w:rPr>
                <w:rFonts w:ascii="Arial" w:hAnsi="Arial" w:cs="Arial"/>
                <w:sz w:val="22"/>
                <w:szCs w:val="22"/>
              </w:rPr>
            </w:pPr>
            <w:r w:rsidRPr="00416D10">
              <w:rPr>
                <w:rFonts w:ascii="Arial" w:hAnsi="Arial" w:cs="Arial"/>
                <w:bCs/>
                <w:sz w:val="22"/>
                <w:szCs w:val="22"/>
              </w:rPr>
              <w:t xml:space="preserve">Review, assess and discuss with the </w:t>
            </w:r>
            <w:r w:rsidR="008F2A60" w:rsidRPr="00416D10">
              <w:rPr>
                <w:rFonts w:ascii="Arial" w:hAnsi="Arial" w:cs="Arial"/>
                <w:bCs/>
                <w:sz w:val="22"/>
                <w:szCs w:val="22"/>
              </w:rPr>
              <w:t xml:space="preserve">Chief Executive Officer, </w:t>
            </w:r>
            <w:r w:rsidRPr="00416D10">
              <w:rPr>
                <w:rFonts w:ascii="Arial" w:hAnsi="Arial" w:cs="Arial"/>
                <w:bCs/>
                <w:sz w:val="22"/>
                <w:szCs w:val="22"/>
              </w:rPr>
              <w:t>General Counsel</w:t>
            </w:r>
            <w:r w:rsidR="00E81BD9" w:rsidRPr="00416D10">
              <w:rPr>
                <w:rFonts w:ascii="Arial" w:hAnsi="Arial" w:cs="Arial"/>
                <w:bCs/>
                <w:sz w:val="22"/>
                <w:szCs w:val="22"/>
              </w:rPr>
              <w:t>/Chief Compliance Officer,</w:t>
            </w:r>
            <w:r w:rsidRPr="00416D10">
              <w:rPr>
                <w:rFonts w:ascii="Arial" w:hAnsi="Arial" w:cs="Arial"/>
                <w:bCs/>
                <w:sz w:val="22"/>
                <w:szCs w:val="22"/>
              </w:rPr>
              <w:t xml:space="preserve"> the Chief Financial Officer and the Companies’ Independent Auditor any significant risks or exposures, managements risk assessments, steps management has taken or should consider taking to minimize such risks or exposures, and the Companies’ underlying policies with respect to risk assessment and risk management.</w:t>
            </w:r>
          </w:p>
        </w:tc>
      </w:tr>
      <w:tr w:rsidR="00631927" w:rsidRPr="00416D10">
        <w:tblPrEx>
          <w:tblCellMar>
            <w:top w:w="0" w:type="dxa"/>
            <w:bottom w:w="0" w:type="dxa"/>
          </w:tblCellMar>
        </w:tblPrEx>
        <w:trPr>
          <w:cantSplit/>
        </w:trPr>
        <w:tc>
          <w:tcPr>
            <w:tcW w:w="2720" w:type="dxa"/>
            <w:tcBorders>
              <w:top w:val="nil"/>
              <w:bottom w:val="nil"/>
            </w:tcBorders>
          </w:tcPr>
          <w:p w:rsidR="00631927" w:rsidRPr="00416D10" w:rsidRDefault="00631927" w:rsidP="00565A86">
            <w:pPr>
              <w:rPr>
                <w:rFonts w:ascii="Arial" w:hAnsi="Arial" w:cs="Arial"/>
                <w:sz w:val="22"/>
                <w:szCs w:val="22"/>
              </w:rPr>
            </w:pPr>
          </w:p>
        </w:tc>
        <w:tc>
          <w:tcPr>
            <w:tcW w:w="7110" w:type="dxa"/>
            <w:tcBorders>
              <w:top w:val="nil"/>
              <w:bottom w:val="nil"/>
            </w:tcBorders>
          </w:tcPr>
          <w:p w:rsidR="00631927" w:rsidRPr="00416D10" w:rsidRDefault="00631927" w:rsidP="00565A86">
            <w:pPr>
              <w:pStyle w:val="Heading3"/>
              <w:rPr>
                <w:rFonts w:ascii="Arial" w:hAnsi="Arial" w:cs="Arial"/>
                <w:sz w:val="22"/>
                <w:szCs w:val="22"/>
              </w:rPr>
            </w:pPr>
            <w:r w:rsidRPr="00416D10">
              <w:rPr>
                <w:rFonts w:ascii="Arial" w:hAnsi="Arial" w:cs="Arial"/>
                <w:sz w:val="22"/>
                <w:szCs w:val="22"/>
              </w:rPr>
              <w:t>Review on an annual basis any loans that have been made to any directors or officers of the Companies.</w:t>
            </w:r>
          </w:p>
        </w:tc>
      </w:tr>
      <w:tr w:rsidR="00631927" w:rsidRPr="00416D10" w:rsidTr="00A41DD8">
        <w:tblPrEx>
          <w:tblCellMar>
            <w:top w:w="0" w:type="dxa"/>
            <w:bottom w:w="0" w:type="dxa"/>
          </w:tblCellMar>
        </w:tblPrEx>
        <w:trPr>
          <w:cantSplit/>
        </w:trPr>
        <w:tc>
          <w:tcPr>
            <w:tcW w:w="2720" w:type="dxa"/>
            <w:tcBorders>
              <w:top w:val="nil"/>
              <w:bottom w:val="nil"/>
            </w:tcBorders>
          </w:tcPr>
          <w:p w:rsidR="00631927" w:rsidRPr="00416D10" w:rsidRDefault="00631927" w:rsidP="00565A86">
            <w:pPr>
              <w:rPr>
                <w:rFonts w:ascii="Arial" w:hAnsi="Arial" w:cs="Arial"/>
                <w:sz w:val="22"/>
                <w:szCs w:val="22"/>
              </w:rPr>
            </w:pPr>
          </w:p>
        </w:tc>
        <w:tc>
          <w:tcPr>
            <w:tcW w:w="7110" w:type="dxa"/>
            <w:tcBorders>
              <w:top w:val="nil"/>
              <w:bottom w:val="nil"/>
            </w:tcBorders>
          </w:tcPr>
          <w:p w:rsidR="00F20BA5" w:rsidRPr="00416D10" w:rsidRDefault="00631927" w:rsidP="00A8777F">
            <w:pPr>
              <w:pStyle w:val="Heading3"/>
              <w:rPr>
                <w:rFonts w:ascii="Arial" w:hAnsi="Arial" w:cs="Arial"/>
                <w:sz w:val="22"/>
                <w:szCs w:val="22"/>
              </w:rPr>
            </w:pPr>
            <w:r w:rsidRPr="00416D10">
              <w:rPr>
                <w:rFonts w:ascii="Arial" w:hAnsi="Arial" w:cs="Arial"/>
                <w:sz w:val="22"/>
                <w:szCs w:val="22"/>
              </w:rPr>
              <w:t>Review annually each Company’s code of ethics as approved by the senior and financial officers of each Company.</w:t>
            </w:r>
          </w:p>
          <w:p w:rsidR="00F20BA5" w:rsidRPr="00416D10" w:rsidRDefault="00A8777F" w:rsidP="00A8777F">
            <w:pPr>
              <w:pStyle w:val="BodyText"/>
              <w:ind w:left="720" w:hanging="360"/>
              <w:rPr>
                <w:rFonts w:ascii="Arial" w:hAnsi="Arial" w:cs="Arial"/>
                <w:sz w:val="22"/>
                <w:szCs w:val="22"/>
              </w:rPr>
            </w:pPr>
            <w:r w:rsidRPr="00416D10">
              <w:rPr>
                <w:rFonts w:ascii="Arial" w:hAnsi="Arial" w:cs="Arial"/>
                <w:sz w:val="22"/>
                <w:szCs w:val="22"/>
              </w:rPr>
              <w:tab/>
            </w:r>
            <w:r w:rsidR="00AF48C4" w:rsidRPr="00416D10">
              <w:rPr>
                <w:rFonts w:ascii="Arial" w:hAnsi="Arial" w:cs="Arial"/>
                <w:sz w:val="22"/>
                <w:szCs w:val="22"/>
              </w:rPr>
              <w:t>R</w:t>
            </w:r>
            <w:r w:rsidR="00F20BA5" w:rsidRPr="00416D10">
              <w:rPr>
                <w:rFonts w:ascii="Arial" w:hAnsi="Arial" w:cs="Arial"/>
                <w:sz w:val="22"/>
                <w:szCs w:val="22"/>
              </w:rPr>
              <w:t xml:space="preserve">eview </w:t>
            </w:r>
            <w:r w:rsidR="00AF48C4" w:rsidRPr="00416D10">
              <w:rPr>
                <w:rFonts w:ascii="Arial" w:hAnsi="Arial" w:cs="Arial"/>
                <w:sz w:val="22"/>
                <w:szCs w:val="22"/>
              </w:rPr>
              <w:t xml:space="preserve">annually </w:t>
            </w:r>
            <w:r w:rsidR="00F20BA5" w:rsidRPr="00416D10">
              <w:rPr>
                <w:rFonts w:ascii="Arial" w:hAnsi="Arial" w:cs="Arial"/>
                <w:sz w:val="22"/>
                <w:szCs w:val="22"/>
              </w:rPr>
              <w:t>with the</w:t>
            </w:r>
            <w:r w:rsidR="00AF48C4" w:rsidRPr="00416D10">
              <w:rPr>
                <w:rFonts w:ascii="Arial" w:hAnsi="Arial" w:cs="Arial"/>
                <w:sz w:val="22"/>
                <w:szCs w:val="22"/>
              </w:rPr>
              <w:t xml:space="preserve"> </w:t>
            </w:r>
            <w:r w:rsidR="00E81BD9" w:rsidRPr="00416D10">
              <w:rPr>
                <w:rFonts w:ascii="Arial" w:hAnsi="Arial" w:cs="Arial"/>
                <w:sz w:val="22"/>
                <w:szCs w:val="22"/>
              </w:rPr>
              <w:t>General Counsel/</w:t>
            </w:r>
            <w:r w:rsidR="00AF48C4" w:rsidRPr="00416D10">
              <w:rPr>
                <w:rFonts w:ascii="Arial" w:hAnsi="Arial" w:cs="Arial"/>
                <w:sz w:val="22"/>
                <w:szCs w:val="22"/>
              </w:rPr>
              <w:t>Chief Compliance Officer, the external auditor and t</w:t>
            </w:r>
            <w:r w:rsidR="006D61D4" w:rsidRPr="00416D10">
              <w:rPr>
                <w:rFonts w:ascii="Arial" w:hAnsi="Arial" w:cs="Arial"/>
                <w:sz w:val="22"/>
                <w:szCs w:val="22"/>
              </w:rPr>
              <w:t>he internal auditor any</w:t>
            </w:r>
            <w:r w:rsidR="00AF48C4" w:rsidRPr="00416D10">
              <w:rPr>
                <w:rFonts w:ascii="Arial" w:hAnsi="Arial" w:cs="Arial"/>
                <w:sz w:val="22"/>
                <w:szCs w:val="22"/>
              </w:rPr>
              <w:t xml:space="preserve"> </w:t>
            </w:r>
            <w:r w:rsidR="00DC242F" w:rsidRPr="00416D10">
              <w:rPr>
                <w:rFonts w:ascii="Arial" w:hAnsi="Arial" w:cs="Arial"/>
                <w:sz w:val="22"/>
                <w:szCs w:val="22"/>
              </w:rPr>
              <w:t>non-</w:t>
            </w:r>
            <w:r w:rsidR="006D61D4" w:rsidRPr="00416D10">
              <w:rPr>
                <w:rFonts w:ascii="Arial" w:hAnsi="Arial" w:cs="Arial"/>
                <w:sz w:val="22"/>
                <w:szCs w:val="22"/>
              </w:rPr>
              <w:t>compliance issues occurring within any of the C</w:t>
            </w:r>
            <w:r w:rsidR="00AF48C4" w:rsidRPr="00416D10">
              <w:rPr>
                <w:rFonts w:ascii="Arial" w:hAnsi="Arial" w:cs="Arial"/>
                <w:sz w:val="22"/>
                <w:szCs w:val="22"/>
              </w:rPr>
              <w:t>ompanies.</w:t>
            </w:r>
            <w:r w:rsidR="00F20BA5" w:rsidRPr="00416D10">
              <w:rPr>
                <w:rFonts w:ascii="Arial" w:hAnsi="Arial" w:cs="Arial"/>
                <w:sz w:val="22"/>
                <w:szCs w:val="22"/>
              </w:rPr>
              <w:t xml:space="preserve"> </w:t>
            </w:r>
          </w:p>
        </w:tc>
      </w:tr>
      <w:tr w:rsidR="00631927" w:rsidRPr="00416D10" w:rsidTr="00A41DD8">
        <w:tblPrEx>
          <w:tblCellMar>
            <w:top w:w="0" w:type="dxa"/>
            <w:bottom w:w="0" w:type="dxa"/>
          </w:tblCellMar>
        </w:tblPrEx>
        <w:trPr>
          <w:cantSplit/>
        </w:trPr>
        <w:tc>
          <w:tcPr>
            <w:tcW w:w="2720" w:type="dxa"/>
            <w:tcBorders>
              <w:top w:val="nil"/>
              <w:bottom w:val="nil"/>
            </w:tcBorders>
          </w:tcPr>
          <w:p w:rsidR="00631927" w:rsidRPr="00416D10" w:rsidRDefault="00631927" w:rsidP="00565A86">
            <w:pPr>
              <w:rPr>
                <w:rFonts w:ascii="Arial" w:hAnsi="Arial" w:cs="Arial"/>
                <w:sz w:val="22"/>
                <w:szCs w:val="22"/>
              </w:rPr>
            </w:pPr>
          </w:p>
        </w:tc>
        <w:tc>
          <w:tcPr>
            <w:tcW w:w="7110" w:type="dxa"/>
            <w:tcBorders>
              <w:top w:val="nil"/>
              <w:bottom w:val="nil"/>
            </w:tcBorders>
          </w:tcPr>
          <w:p w:rsidR="00631927" w:rsidRPr="00416D10" w:rsidRDefault="00631927" w:rsidP="00A8777F">
            <w:pPr>
              <w:pStyle w:val="Heading3"/>
              <w:rPr>
                <w:rFonts w:ascii="Arial" w:hAnsi="Arial" w:cs="Arial"/>
                <w:sz w:val="22"/>
                <w:szCs w:val="22"/>
              </w:rPr>
            </w:pPr>
            <w:r w:rsidRPr="00416D10">
              <w:rPr>
                <w:rFonts w:ascii="Arial" w:hAnsi="Arial" w:cs="Arial"/>
                <w:sz w:val="22"/>
                <w:szCs w:val="22"/>
              </w:rPr>
              <w:t>Discuss with members of management and the external auditor, as appropriate, any correspondence with regulators or governmental agencies and any employee complaints or published reports which raise material issues regarding each Company’s financial statements or accounting policies.</w:t>
            </w:r>
          </w:p>
        </w:tc>
      </w:tr>
      <w:tr w:rsidR="00631927" w:rsidRPr="00416D10">
        <w:tblPrEx>
          <w:tblCellMar>
            <w:top w:w="0" w:type="dxa"/>
            <w:bottom w:w="0" w:type="dxa"/>
          </w:tblCellMar>
        </w:tblPrEx>
        <w:trPr>
          <w:cantSplit/>
        </w:trPr>
        <w:tc>
          <w:tcPr>
            <w:tcW w:w="2720" w:type="dxa"/>
            <w:tcBorders>
              <w:top w:val="nil"/>
              <w:bottom w:val="single" w:sz="4" w:space="0" w:color="auto"/>
            </w:tcBorders>
          </w:tcPr>
          <w:p w:rsidR="00631927" w:rsidRPr="00416D10" w:rsidRDefault="00631927" w:rsidP="00565A86">
            <w:pPr>
              <w:rPr>
                <w:rFonts w:ascii="Arial" w:hAnsi="Arial" w:cs="Arial"/>
                <w:sz w:val="22"/>
                <w:szCs w:val="22"/>
              </w:rPr>
            </w:pPr>
          </w:p>
        </w:tc>
        <w:tc>
          <w:tcPr>
            <w:tcW w:w="7110" w:type="dxa"/>
            <w:tcBorders>
              <w:top w:val="nil"/>
              <w:bottom w:val="single" w:sz="4" w:space="0" w:color="auto"/>
            </w:tcBorders>
          </w:tcPr>
          <w:p w:rsidR="00631927" w:rsidRPr="00416D10" w:rsidRDefault="00631927" w:rsidP="00A8777F">
            <w:pPr>
              <w:pStyle w:val="Heading3"/>
              <w:rPr>
                <w:rFonts w:ascii="Arial" w:hAnsi="Arial" w:cs="Arial"/>
                <w:sz w:val="22"/>
                <w:szCs w:val="22"/>
              </w:rPr>
            </w:pPr>
            <w:r w:rsidRPr="00416D10">
              <w:rPr>
                <w:rFonts w:ascii="Arial" w:hAnsi="Arial" w:cs="Arial"/>
                <w:sz w:val="22"/>
                <w:szCs w:val="22"/>
              </w:rPr>
              <w:t>Monitor the procedures for the receipt, retention and treatment of complaints received by each Company regarding accounting, internal accounting controls, or auditing matters, and the confidential, anonymous submission by employees of concerns regarding questionable accounting or auditing matters.</w:t>
            </w:r>
          </w:p>
        </w:tc>
      </w:tr>
      <w:tr w:rsidR="00631927" w:rsidRPr="00416D10">
        <w:tblPrEx>
          <w:tblCellMar>
            <w:top w:w="0" w:type="dxa"/>
            <w:bottom w:w="0" w:type="dxa"/>
          </w:tblCellMar>
        </w:tblPrEx>
        <w:trPr>
          <w:cantSplit/>
        </w:trPr>
        <w:tc>
          <w:tcPr>
            <w:tcW w:w="2720" w:type="dxa"/>
            <w:tcBorders>
              <w:top w:val="single" w:sz="4" w:space="0" w:color="auto"/>
              <w:bottom w:val="nil"/>
            </w:tcBorders>
          </w:tcPr>
          <w:p w:rsidR="00631927" w:rsidRPr="00416D10" w:rsidRDefault="00A41DD8" w:rsidP="00357F1F">
            <w:pPr>
              <w:rPr>
                <w:rFonts w:ascii="Arial" w:hAnsi="Arial" w:cs="Arial"/>
                <w:sz w:val="22"/>
                <w:szCs w:val="22"/>
              </w:rPr>
            </w:pPr>
            <w:r w:rsidRPr="00416D10">
              <w:rPr>
                <w:rFonts w:ascii="Arial" w:hAnsi="Arial" w:cs="Arial"/>
                <w:sz w:val="22"/>
                <w:szCs w:val="22"/>
              </w:rPr>
              <w:t>I</w:t>
            </w:r>
            <w:r w:rsidR="00C44418" w:rsidRPr="00416D10">
              <w:rPr>
                <w:rFonts w:ascii="Arial" w:hAnsi="Arial" w:cs="Arial"/>
                <w:sz w:val="22"/>
                <w:szCs w:val="22"/>
              </w:rPr>
              <w:t>V.</w:t>
            </w:r>
            <w:r w:rsidR="00357F1F" w:rsidRPr="00416D10">
              <w:rPr>
                <w:rFonts w:ascii="Arial" w:hAnsi="Arial" w:cs="Arial"/>
                <w:sz w:val="22"/>
                <w:szCs w:val="22"/>
              </w:rPr>
              <w:t xml:space="preserve">  (continued)</w:t>
            </w:r>
          </w:p>
        </w:tc>
        <w:tc>
          <w:tcPr>
            <w:tcW w:w="7110" w:type="dxa"/>
            <w:tcBorders>
              <w:top w:val="single" w:sz="4" w:space="0" w:color="auto"/>
              <w:bottom w:val="nil"/>
            </w:tcBorders>
          </w:tcPr>
          <w:p w:rsidR="00631927" w:rsidRPr="00416D10" w:rsidRDefault="00631927" w:rsidP="00565A86">
            <w:pPr>
              <w:pStyle w:val="Heading2"/>
              <w:rPr>
                <w:rFonts w:ascii="Arial" w:hAnsi="Arial" w:cs="Arial"/>
                <w:sz w:val="22"/>
                <w:szCs w:val="22"/>
                <w:u w:val="single"/>
              </w:rPr>
            </w:pPr>
            <w:r w:rsidRPr="00416D10">
              <w:rPr>
                <w:rFonts w:ascii="Arial" w:hAnsi="Arial" w:cs="Arial"/>
                <w:sz w:val="22"/>
                <w:szCs w:val="22"/>
                <w:u w:val="single"/>
              </w:rPr>
              <w:t>Completion of certain duties prior to Board action (when appropriate)</w:t>
            </w:r>
          </w:p>
          <w:p w:rsidR="00631927" w:rsidRPr="00416D10" w:rsidRDefault="00631927" w:rsidP="00565A86">
            <w:pPr>
              <w:pStyle w:val="BodyText"/>
              <w:tabs>
                <w:tab w:val="left" w:pos="401"/>
              </w:tabs>
              <w:rPr>
                <w:rFonts w:ascii="Arial" w:hAnsi="Arial" w:cs="Arial"/>
                <w:sz w:val="22"/>
                <w:szCs w:val="22"/>
              </w:rPr>
            </w:pPr>
            <w:r w:rsidRPr="00416D10">
              <w:rPr>
                <w:rFonts w:ascii="Arial" w:hAnsi="Arial" w:cs="Arial"/>
                <w:sz w:val="22"/>
                <w:szCs w:val="22"/>
              </w:rPr>
              <w:tab/>
              <w:t>The Committee is to:</w:t>
            </w:r>
          </w:p>
        </w:tc>
      </w:tr>
      <w:tr w:rsidR="00631927" w:rsidRPr="00416D10">
        <w:tblPrEx>
          <w:tblCellMar>
            <w:top w:w="0" w:type="dxa"/>
            <w:bottom w:w="0" w:type="dxa"/>
          </w:tblCellMar>
        </w:tblPrEx>
        <w:trPr>
          <w:cantSplit/>
        </w:trPr>
        <w:tc>
          <w:tcPr>
            <w:tcW w:w="2720" w:type="dxa"/>
            <w:tcBorders>
              <w:top w:val="nil"/>
              <w:bottom w:val="nil"/>
            </w:tcBorders>
          </w:tcPr>
          <w:p w:rsidR="00631927" w:rsidRPr="00416D10" w:rsidRDefault="00631927" w:rsidP="00565A86">
            <w:pPr>
              <w:rPr>
                <w:rFonts w:ascii="Arial" w:hAnsi="Arial" w:cs="Arial"/>
                <w:sz w:val="22"/>
                <w:szCs w:val="22"/>
              </w:rPr>
            </w:pPr>
          </w:p>
        </w:tc>
        <w:tc>
          <w:tcPr>
            <w:tcW w:w="7110" w:type="dxa"/>
            <w:tcBorders>
              <w:top w:val="nil"/>
              <w:bottom w:val="nil"/>
            </w:tcBorders>
          </w:tcPr>
          <w:p w:rsidR="00631927" w:rsidRPr="00416D10" w:rsidRDefault="00631927" w:rsidP="00565A86">
            <w:pPr>
              <w:pStyle w:val="Heading3"/>
              <w:rPr>
                <w:rFonts w:ascii="Arial" w:hAnsi="Arial" w:cs="Arial"/>
                <w:sz w:val="22"/>
                <w:szCs w:val="22"/>
              </w:rPr>
            </w:pPr>
            <w:r w:rsidRPr="00416D10">
              <w:rPr>
                <w:rFonts w:ascii="Arial" w:hAnsi="Arial" w:cs="Arial"/>
                <w:sz w:val="22"/>
                <w:szCs w:val="22"/>
              </w:rPr>
              <w:t xml:space="preserve">Appoint or replace external </w:t>
            </w:r>
            <w:r w:rsidR="00354907">
              <w:rPr>
                <w:rFonts w:ascii="Arial" w:hAnsi="Arial" w:cs="Arial"/>
                <w:sz w:val="22"/>
                <w:szCs w:val="22"/>
              </w:rPr>
              <w:t xml:space="preserve">or internal </w:t>
            </w:r>
            <w:r w:rsidRPr="00416D10">
              <w:rPr>
                <w:rFonts w:ascii="Arial" w:hAnsi="Arial" w:cs="Arial"/>
                <w:sz w:val="22"/>
                <w:szCs w:val="22"/>
              </w:rPr>
              <w:t>auditors.</w:t>
            </w:r>
          </w:p>
        </w:tc>
      </w:tr>
      <w:tr w:rsidR="00631927" w:rsidRPr="00416D10">
        <w:tblPrEx>
          <w:tblCellMar>
            <w:top w:w="0" w:type="dxa"/>
            <w:bottom w:w="0" w:type="dxa"/>
          </w:tblCellMar>
        </w:tblPrEx>
        <w:trPr>
          <w:cantSplit/>
        </w:trPr>
        <w:tc>
          <w:tcPr>
            <w:tcW w:w="2720" w:type="dxa"/>
            <w:tcBorders>
              <w:top w:val="nil"/>
              <w:bottom w:val="nil"/>
            </w:tcBorders>
          </w:tcPr>
          <w:p w:rsidR="00631927" w:rsidRPr="00416D10" w:rsidRDefault="00631927" w:rsidP="00565A86">
            <w:pPr>
              <w:rPr>
                <w:rFonts w:ascii="Arial" w:hAnsi="Arial" w:cs="Arial"/>
                <w:sz w:val="22"/>
                <w:szCs w:val="22"/>
              </w:rPr>
            </w:pPr>
          </w:p>
        </w:tc>
        <w:tc>
          <w:tcPr>
            <w:tcW w:w="7110" w:type="dxa"/>
            <w:tcBorders>
              <w:top w:val="nil"/>
              <w:bottom w:val="nil"/>
            </w:tcBorders>
          </w:tcPr>
          <w:p w:rsidR="00631927" w:rsidRPr="00416D10" w:rsidRDefault="00631927" w:rsidP="00565A86">
            <w:pPr>
              <w:pStyle w:val="Heading3"/>
              <w:rPr>
                <w:rFonts w:ascii="Arial" w:hAnsi="Arial" w:cs="Arial"/>
                <w:sz w:val="22"/>
                <w:szCs w:val="22"/>
              </w:rPr>
            </w:pPr>
            <w:r w:rsidRPr="00416D10">
              <w:rPr>
                <w:rFonts w:ascii="Arial" w:hAnsi="Arial" w:cs="Arial"/>
                <w:sz w:val="22"/>
                <w:szCs w:val="22"/>
              </w:rPr>
              <w:t>Review and approve the annual financial statements, including the financial statements of any subsidiary corporations, and auditors’ reports.</w:t>
            </w:r>
          </w:p>
        </w:tc>
      </w:tr>
      <w:tr w:rsidR="00631927" w:rsidRPr="00416D10">
        <w:tblPrEx>
          <w:tblCellMar>
            <w:top w:w="0" w:type="dxa"/>
            <w:bottom w:w="0" w:type="dxa"/>
          </w:tblCellMar>
        </w:tblPrEx>
        <w:trPr>
          <w:cantSplit/>
        </w:trPr>
        <w:tc>
          <w:tcPr>
            <w:tcW w:w="2720" w:type="dxa"/>
            <w:tcBorders>
              <w:top w:val="nil"/>
              <w:bottom w:val="single" w:sz="4" w:space="0" w:color="auto"/>
            </w:tcBorders>
          </w:tcPr>
          <w:p w:rsidR="00631927" w:rsidRPr="00416D10" w:rsidRDefault="00631927" w:rsidP="00565A86">
            <w:pPr>
              <w:rPr>
                <w:rFonts w:ascii="Arial" w:hAnsi="Arial" w:cs="Arial"/>
                <w:sz w:val="22"/>
                <w:szCs w:val="22"/>
              </w:rPr>
            </w:pPr>
          </w:p>
        </w:tc>
        <w:tc>
          <w:tcPr>
            <w:tcW w:w="7110" w:type="dxa"/>
            <w:tcBorders>
              <w:top w:val="nil"/>
              <w:bottom w:val="single" w:sz="4" w:space="0" w:color="auto"/>
            </w:tcBorders>
          </w:tcPr>
          <w:p w:rsidR="00631927" w:rsidRPr="00416D10" w:rsidRDefault="00354907" w:rsidP="00354907">
            <w:pPr>
              <w:pStyle w:val="Heading3"/>
              <w:rPr>
                <w:rFonts w:ascii="Arial" w:hAnsi="Arial" w:cs="Arial"/>
                <w:sz w:val="22"/>
                <w:szCs w:val="22"/>
              </w:rPr>
            </w:pPr>
            <w:r>
              <w:rPr>
                <w:rFonts w:ascii="Arial" w:hAnsi="Arial" w:cs="Arial"/>
                <w:sz w:val="22"/>
                <w:szCs w:val="22"/>
              </w:rPr>
              <w:t>Review, and oversee i</w:t>
            </w:r>
            <w:r w:rsidR="00631927" w:rsidRPr="00416D10">
              <w:rPr>
                <w:rFonts w:ascii="Arial" w:hAnsi="Arial" w:cs="Arial"/>
                <w:sz w:val="22"/>
                <w:szCs w:val="22"/>
              </w:rPr>
              <w:t>mplement</w:t>
            </w:r>
            <w:r>
              <w:rPr>
                <w:rFonts w:ascii="Arial" w:hAnsi="Arial" w:cs="Arial"/>
                <w:sz w:val="22"/>
                <w:szCs w:val="22"/>
              </w:rPr>
              <w:t>ation of,</w:t>
            </w:r>
            <w:r w:rsidR="00631927" w:rsidRPr="00416D10">
              <w:rPr>
                <w:rFonts w:ascii="Arial" w:hAnsi="Arial" w:cs="Arial"/>
                <w:sz w:val="22"/>
                <w:szCs w:val="22"/>
              </w:rPr>
              <w:t xml:space="preserve"> major accounting policy changes.</w:t>
            </w:r>
          </w:p>
        </w:tc>
      </w:tr>
      <w:tr w:rsidR="00631927" w:rsidRPr="00416D10">
        <w:tblPrEx>
          <w:tblCellMar>
            <w:top w:w="0" w:type="dxa"/>
            <w:bottom w:w="0" w:type="dxa"/>
          </w:tblCellMar>
        </w:tblPrEx>
        <w:trPr>
          <w:cantSplit/>
        </w:trPr>
        <w:tc>
          <w:tcPr>
            <w:tcW w:w="2720" w:type="dxa"/>
            <w:tcBorders>
              <w:top w:val="single" w:sz="4" w:space="0" w:color="auto"/>
              <w:bottom w:val="nil"/>
            </w:tcBorders>
          </w:tcPr>
          <w:p w:rsidR="00631927" w:rsidRPr="00416D10" w:rsidRDefault="00357F1F" w:rsidP="00565A86">
            <w:pPr>
              <w:rPr>
                <w:rFonts w:ascii="Arial" w:hAnsi="Arial" w:cs="Arial"/>
                <w:sz w:val="22"/>
                <w:szCs w:val="22"/>
              </w:rPr>
            </w:pPr>
            <w:r w:rsidRPr="00416D10">
              <w:rPr>
                <w:rFonts w:ascii="Arial" w:hAnsi="Arial" w:cs="Arial"/>
                <w:sz w:val="22"/>
                <w:szCs w:val="22"/>
              </w:rPr>
              <w:t xml:space="preserve"> </w:t>
            </w:r>
          </w:p>
        </w:tc>
        <w:tc>
          <w:tcPr>
            <w:tcW w:w="7110" w:type="dxa"/>
            <w:tcBorders>
              <w:top w:val="single" w:sz="4" w:space="0" w:color="auto"/>
              <w:bottom w:val="nil"/>
            </w:tcBorders>
          </w:tcPr>
          <w:p w:rsidR="00631927" w:rsidRPr="00416D10" w:rsidRDefault="00631927" w:rsidP="00565A86">
            <w:pPr>
              <w:pStyle w:val="Heading2"/>
              <w:keepNext/>
              <w:rPr>
                <w:rFonts w:ascii="Arial" w:hAnsi="Arial" w:cs="Arial"/>
                <w:sz w:val="22"/>
                <w:szCs w:val="22"/>
              </w:rPr>
            </w:pPr>
            <w:r w:rsidRPr="00416D10">
              <w:rPr>
                <w:rFonts w:ascii="Arial" w:hAnsi="Arial" w:cs="Arial"/>
                <w:sz w:val="22"/>
                <w:szCs w:val="22"/>
                <w:u w:val="single"/>
              </w:rPr>
              <w:t>Completion of certain duties prior to providing summary reports to the Board (when appropriate)</w:t>
            </w:r>
            <w:r w:rsidRPr="00416D10">
              <w:rPr>
                <w:rFonts w:ascii="Arial" w:hAnsi="Arial" w:cs="Arial"/>
                <w:sz w:val="22"/>
                <w:szCs w:val="22"/>
              </w:rPr>
              <w:t>.</w:t>
            </w:r>
          </w:p>
          <w:p w:rsidR="00631927" w:rsidRPr="00416D10" w:rsidRDefault="00631927" w:rsidP="00565A86">
            <w:pPr>
              <w:pStyle w:val="BodyText"/>
              <w:tabs>
                <w:tab w:val="left" w:pos="383"/>
              </w:tabs>
              <w:rPr>
                <w:rFonts w:ascii="Arial" w:hAnsi="Arial" w:cs="Arial"/>
                <w:sz w:val="22"/>
                <w:szCs w:val="22"/>
              </w:rPr>
            </w:pPr>
            <w:r w:rsidRPr="00416D10">
              <w:rPr>
                <w:rFonts w:ascii="Arial" w:hAnsi="Arial" w:cs="Arial"/>
                <w:sz w:val="22"/>
                <w:szCs w:val="22"/>
              </w:rPr>
              <w:tab/>
              <w:t>The Committee is to:</w:t>
            </w:r>
          </w:p>
        </w:tc>
      </w:tr>
      <w:tr w:rsidR="00631927" w:rsidRPr="00416D10">
        <w:tblPrEx>
          <w:tblCellMar>
            <w:top w:w="0" w:type="dxa"/>
            <w:bottom w:w="0" w:type="dxa"/>
          </w:tblCellMar>
        </w:tblPrEx>
        <w:trPr>
          <w:cantSplit/>
        </w:trPr>
        <w:tc>
          <w:tcPr>
            <w:tcW w:w="2720" w:type="dxa"/>
            <w:tcBorders>
              <w:top w:val="nil"/>
              <w:bottom w:val="nil"/>
            </w:tcBorders>
          </w:tcPr>
          <w:p w:rsidR="00631927" w:rsidRPr="00416D10" w:rsidRDefault="00631927" w:rsidP="00565A86">
            <w:pPr>
              <w:rPr>
                <w:rFonts w:ascii="Arial" w:hAnsi="Arial" w:cs="Arial"/>
                <w:sz w:val="22"/>
                <w:szCs w:val="22"/>
              </w:rPr>
            </w:pPr>
          </w:p>
        </w:tc>
        <w:tc>
          <w:tcPr>
            <w:tcW w:w="7110" w:type="dxa"/>
            <w:tcBorders>
              <w:top w:val="nil"/>
              <w:bottom w:val="nil"/>
            </w:tcBorders>
          </w:tcPr>
          <w:p w:rsidR="00631927" w:rsidRPr="00416D10" w:rsidRDefault="00631927" w:rsidP="00470AD0">
            <w:pPr>
              <w:pStyle w:val="Heading3"/>
              <w:rPr>
                <w:rFonts w:ascii="Arial" w:hAnsi="Arial" w:cs="Arial"/>
                <w:sz w:val="22"/>
                <w:szCs w:val="22"/>
              </w:rPr>
            </w:pPr>
            <w:r w:rsidRPr="00416D10">
              <w:rPr>
                <w:rFonts w:ascii="Arial" w:hAnsi="Arial" w:cs="Arial"/>
                <w:sz w:val="22"/>
                <w:szCs w:val="22"/>
              </w:rPr>
              <w:t>Review accounting changes or regulations proposed or adopted by governing bodies</w:t>
            </w:r>
            <w:r w:rsidR="00A06B1D" w:rsidRPr="00416D10">
              <w:rPr>
                <w:rFonts w:ascii="Arial" w:hAnsi="Arial" w:cs="Arial"/>
                <w:sz w:val="22"/>
                <w:szCs w:val="22"/>
              </w:rPr>
              <w:t xml:space="preserve"> or regulatory authorit</w:t>
            </w:r>
            <w:r w:rsidR="00470AD0" w:rsidRPr="00416D10">
              <w:rPr>
                <w:rFonts w:ascii="Arial" w:hAnsi="Arial" w:cs="Arial"/>
                <w:sz w:val="22"/>
                <w:szCs w:val="22"/>
              </w:rPr>
              <w:t>ies</w:t>
            </w:r>
            <w:r w:rsidR="00315523" w:rsidRPr="00416D10">
              <w:rPr>
                <w:rFonts w:ascii="Arial" w:hAnsi="Arial" w:cs="Arial"/>
                <w:sz w:val="22"/>
                <w:szCs w:val="22"/>
              </w:rPr>
              <w:t>.</w:t>
            </w:r>
            <w:r w:rsidR="00470AD0" w:rsidRPr="00416D10">
              <w:rPr>
                <w:rFonts w:ascii="Arial" w:hAnsi="Arial" w:cs="Arial"/>
                <w:sz w:val="22"/>
                <w:szCs w:val="22"/>
              </w:rPr>
              <w:t xml:space="preserve"> </w:t>
            </w:r>
          </w:p>
        </w:tc>
      </w:tr>
      <w:tr w:rsidR="00631927" w:rsidRPr="00416D10">
        <w:tblPrEx>
          <w:tblCellMar>
            <w:top w:w="0" w:type="dxa"/>
            <w:bottom w:w="0" w:type="dxa"/>
          </w:tblCellMar>
        </w:tblPrEx>
        <w:trPr>
          <w:cantSplit/>
        </w:trPr>
        <w:tc>
          <w:tcPr>
            <w:tcW w:w="2720" w:type="dxa"/>
            <w:tcBorders>
              <w:top w:val="nil"/>
              <w:bottom w:val="nil"/>
            </w:tcBorders>
          </w:tcPr>
          <w:p w:rsidR="00631927" w:rsidRPr="00416D10" w:rsidRDefault="00631927" w:rsidP="00565A86">
            <w:pPr>
              <w:rPr>
                <w:rFonts w:ascii="Arial" w:hAnsi="Arial" w:cs="Arial"/>
                <w:sz w:val="22"/>
                <w:szCs w:val="22"/>
              </w:rPr>
            </w:pPr>
          </w:p>
        </w:tc>
        <w:tc>
          <w:tcPr>
            <w:tcW w:w="7110" w:type="dxa"/>
            <w:tcBorders>
              <w:top w:val="nil"/>
              <w:bottom w:val="nil"/>
            </w:tcBorders>
          </w:tcPr>
          <w:p w:rsidR="00631927" w:rsidRPr="00416D10" w:rsidRDefault="00631927" w:rsidP="00565A86">
            <w:pPr>
              <w:pStyle w:val="Heading3"/>
              <w:rPr>
                <w:rFonts w:ascii="Arial" w:hAnsi="Arial" w:cs="Arial"/>
                <w:sz w:val="22"/>
                <w:szCs w:val="22"/>
              </w:rPr>
            </w:pPr>
            <w:r w:rsidRPr="00416D10">
              <w:rPr>
                <w:rFonts w:ascii="Arial" w:hAnsi="Arial" w:cs="Arial"/>
                <w:sz w:val="22"/>
                <w:szCs w:val="22"/>
              </w:rPr>
              <w:t>Interview the Companies’ external auditors and internal auditors concerning the strengths and weaknesses of each Company’s financial staff, internal controls, and other factors that pertain to the integrity of published financial reports.</w:t>
            </w:r>
          </w:p>
        </w:tc>
      </w:tr>
      <w:tr w:rsidR="00631927" w:rsidRPr="00416D10" w:rsidTr="00A41DD8">
        <w:tblPrEx>
          <w:tblCellMar>
            <w:top w:w="0" w:type="dxa"/>
            <w:bottom w:w="0" w:type="dxa"/>
          </w:tblCellMar>
        </w:tblPrEx>
        <w:trPr>
          <w:cantSplit/>
        </w:trPr>
        <w:tc>
          <w:tcPr>
            <w:tcW w:w="2720" w:type="dxa"/>
            <w:tcBorders>
              <w:top w:val="nil"/>
              <w:bottom w:val="nil"/>
            </w:tcBorders>
          </w:tcPr>
          <w:p w:rsidR="00631927" w:rsidRPr="00416D10" w:rsidRDefault="00631927" w:rsidP="00565A86">
            <w:pPr>
              <w:rPr>
                <w:rFonts w:ascii="Arial" w:hAnsi="Arial" w:cs="Arial"/>
                <w:sz w:val="22"/>
                <w:szCs w:val="22"/>
              </w:rPr>
            </w:pPr>
          </w:p>
        </w:tc>
        <w:tc>
          <w:tcPr>
            <w:tcW w:w="7110" w:type="dxa"/>
            <w:tcBorders>
              <w:top w:val="nil"/>
              <w:bottom w:val="nil"/>
            </w:tcBorders>
          </w:tcPr>
          <w:p w:rsidR="00631927" w:rsidRPr="00416D10" w:rsidRDefault="00631927" w:rsidP="00565A86">
            <w:pPr>
              <w:pStyle w:val="Heading3"/>
              <w:rPr>
                <w:rFonts w:ascii="Arial" w:hAnsi="Arial" w:cs="Arial"/>
                <w:sz w:val="22"/>
                <w:szCs w:val="22"/>
              </w:rPr>
            </w:pPr>
            <w:r w:rsidRPr="00416D10">
              <w:rPr>
                <w:rFonts w:ascii="Arial" w:hAnsi="Arial" w:cs="Arial"/>
                <w:sz w:val="22"/>
                <w:szCs w:val="22"/>
              </w:rPr>
              <w:t>Review the results of any special audits of the Companies’ internal control procedures.</w:t>
            </w:r>
          </w:p>
        </w:tc>
      </w:tr>
      <w:tr w:rsidR="00631927" w:rsidRPr="00416D10" w:rsidTr="00A41DD8">
        <w:tblPrEx>
          <w:tblCellMar>
            <w:top w:w="0" w:type="dxa"/>
            <w:bottom w:w="0" w:type="dxa"/>
          </w:tblCellMar>
        </w:tblPrEx>
        <w:trPr>
          <w:cantSplit/>
        </w:trPr>
        <w:tc>
          <w:tcPr>
            <w:tcW w:w="2720" w:type="dxa"/>
            <w:tcBorders>
              <w:top w:val="nil"/>
              <w:bottom w:val="nil"/>
            </w:tcBorders>
          </w:tcPr>
          <w:p w:rsidR="00631927" w:rsidRPr="00416D10" w:rsidRDefault="00631927" w:rsidP="00565A86">
            <w:pPr>
              <w:rPr>
                <w:rFonts w:ascii="Arial" w:hAnsi="Arial" w:cs="Arial"/>
                <w:sz w:val="22"/>
                <w:szCs w:val="22"/>
              </w:rPr>
            </w:pPr>
          </w:p>
        </w:tc>
        <w:tc>
          <w:tcPr>
            <w:tcW w:w="7110" w:type="dxa"/>
            <w:tcBorders>
              <w:top w:val="nil"/>
              <w:bottom w:val="nil"/>
            </w:tcBorders>
          </w:tcPr>
          <w:p w:rsidR="00631927" w:rsidRPr="00416D10" w:rsidRDefault="00631927" w:rsidP="00565A86">
            <w:pPr>
              <w:pStyle w:val="Heading3"/>
              <w:rPr>
                <w:rFonts w:ascii="Arial" w:hAnsi="Arial" w:cs="Arial"/>
                <w:sz w:val="22"/>
                <w:szCs w:val="22"/>
              </w:rPr>
            </w:pPr>
            <w:r w:rsidRPr="00416D10">
              <w:rPr>
                <w:rFonts w:ascii="Arial" w:hAnsi="Arial" w:cs="Arial"/>
                <w:sz w:val="22"/>
                <w:szCs w:val="22"/>
              </w:rPr>
              <w:t>Review and approve internal and external auditors’ fees.</w:t>
            </w:r>
          </w:p>
        </w:tc>
      </w:tr>
      <w:tr w:rsidR="00631927" w:rsidRPr="00416D10" w:rsidTr="00A41DD8">
        <w:tblPrEx>
          <w:tblCellMar>
            <w:top w:w="0" w:type="dxa"/>
            <w:bottom w:w="0" w:type="dxa"/>
          </w:tblCellMar>
        </w:tblPrEx>
        <w:trPr>
          <w:cantSplit/>
        </w:trPr>
        <w:tc>
          <w:tcPr>
            <w:tcW w:w="2720" w:type="dxa"/>
            <w:tcBorders>
              <w:top w:val="nil"/>
              <w:bottom w:val="single" w:sz="4" w:space="0" w:color="auto"/>
            </w:tcBorders>
          </w:tcPr>
          <w:p w:rsidR="00631927" w:rsidRPr="00416D10" w:rsidRDefault="00A41DD8" w:rsidP="00565A86">
            <w:pPr>
              <w:rPr>
                <w:rFonts w:ascii="Arial" w:hAnsi="Arial" w:cs="Arial"/>
                <w:sz w:val="22"/>
                <w:szCs w:val="22"/>
              </w:rPr>
            </w:pPr>
            <w:r w:rsidRPr="00416D10">
              <w:rPr>
                <w:rFonts w:ascii="Arial" w:hAnsi="Arial" w:cs="Arial"/>
                <w:sz w:val="22"/>
                <w:szCs w:val="22"/>
              </w:rPr>
              <w:t xml:space="preserve"> </w:t>
            </w:r>
          </w:p>
        </w:tc>
        <w:tc>
          <w:tcPr>
            <w:tcW w:w="7110" w:type="dxa"/>
            <w:tcBorders>
              <w:top w:val="nil"/>
              <w:bottom w:val="single" w:sz="4" w:space="0" w:color="auto"/>
            </w:tcBorders>
          </w:tcPr>
          <w:p w:rsidR="00FA44C2" w:rsidRDefault="006F084D" w:rsidP="00565A86">
            <w:pPr>
              <w:pStyle w:val="Heading3"/>
              <w:rPr>
                <w:rFonts w:ascii="Arial" w:hAnsi="Arial" w:cs="Arial"/>
                <w:sz w:val="22"/>
                <w:szCs w:val="22"/>
              </w:rPr>
            </w:pPr>
            <w:r>
              <w:rPr>
                <w:rFonts w:ascii="Arial" w:hAnsi="Arial" w:cs="Arial"/>
                <w:sz w:val="22"/>
                <w:szCs w:val="22"/>
              </w:rPr>
              <w:t>Review all internal</w:t>
            </w:r>
            <w:r w:rsidR="00FA44C2">
              <w:rPr>
                <w:rFonts w:ascii="Arial" w:hAnsi="Arial" w:cs="Arial"/>
                <w:sz w:val="22"/>
                <w:szCs w:val="22"/>
              </w:rPr>
              <w:t xml:space="preserve"> </w:t>
            </w:r>
            <w:r>
              <w:rPr>
                <w:rFonts w:ascii="Arial" w:hAnsi="Arial" w:cs="Arial"/>
                <w:sz w:val="22"/>
                <w:szCs w:val="22"/>
              </w:rPr>
              <w:t>auditor engagement letters.</w:t>
            </w:r>
          </w:p>
          <w:p w:rsidR="00631927" w:rsidRPr="00416D10" w:rsidRDefault="00631927" w:rsidP="00565A86">
            <w:pPr>
              <w:pStyle w:val="Heading3"/>
              <w:rPr>
                <w:rFonts w:ascii="Arial" w:hAnsi="Arial" w:cs="Arial"/>
                <w:sz w:val="22"/>
                <w:szCs w:val="22"/>
              </w:rPr>
            </w:pPr>
            <w:r w:rsidRPr="00416D10">
              <w:rPr>
                <w:rFonts w:ascii="Arial" w:hAnsi="Arial" w:cs="Arial"/>
                <w:sz w:val="22"/>
                <w:szCs w:val="22"/>
              </w:rPr>
              <w:t>Review management letters, including management responses and plans to address the resulting recommendations.</w:t>
            </w:r>
          </w:p>
        </w:tc>
      </w:tr>
    </w:tbl>
    <w:p w:rsidR="00E45C0D" w:rsidRPr="00416D10" w:rsidRDefault="00E45C0D">
      <w:pPr>
        <w:rPr>
          <w:rFonts w:ascii="Arial" w:hAnsi="Arial" w:cs="Arial"/>
          <w:sz w:val="22"/>
          <w:szCs w:val="22"/>
        </w:rPr>
      </w:pPr>
      <w:r w:rsidRPr="00416D10">
        <w:rPr>
          <w:rFonts w:ascii="Arial" w:hAnsi="Arial" w:cs="Arial"/>
          <w:sz w:val="22"/>
          <w:szCs w:val="22"/>
        </w:rPr>
        <w:br w:type="page"/>
      </w:r>
    </w:p>
    <w:tbl>
      <w:tblPr>
        <w:tblW w:w="98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720"/>
        <w:gridCol w:w="7110"/>
      </w:tblGrid>
      <w:tr w:rsidR="00631927" w:rsidRPr="00416D10">
        <w:tblPrEx>
          <w:tblCellMar>
            <w:top w:w="0" w:type="dxa"/>
            <w:bottom w:w="0" w:type="dxa"/>
          </w:tblCellMar>
        </w:tblPrEx>
        <w:trPr>
          <w:cantSplit/>
        </w:trPr>
        <w:tc>
          <w:tcPr>
            <w:tcW w:w="2720" w:type="dxa"/>
            <w:tcBorders>
              <w:top w:val="single" w:sz="4" w:space="0" w:color="auto"/>
              <w:bottom w:val="nil"/>
            </w:tcBorders>
          </w:tcPr>
          <w:p w:rsidR="00631927" w:rsidRPr="00416D10" w:rsidRDefault="00A41DD8" w:rsidP="00565A86">
            <w:pPr>
              <w:rPr>
                <w:rFonts w:ascii="Arial" w:hAnsi="Arial" w:cs="Arial"/>
                <w:sz w:val="22"/>
                <w:szCs w:val="22"/>
              </w:rPr>
            </w:pPr>
            <w:r w:rsidRPr="00416D10">
              <w:rPr>
                <w:rFonts w:ascii="Arial" w:hAnsi="Arial" w:cs="Arial"/>
                <w:sz w:val="22"/>
                <w:szCs w:val="22"/>
              </w:rPr>
              <w:t>I</w:t>
            </w:r>
            <w:r w:rsidR="00C44418" w:rsidRPr="00416D10">
              <w:rPr>
                <w:rFonts w:ascii="Arial" w:hAnsi="Arial" w:cs="Arial"/>
                <w:sz w:val="22"/>
                <w:szCs w:val="22"/>
              </w:rPr>
              <w:t>V.</w:t>
            </w:r>
            <w:r w:rsidR="00357F1F" w:rsidRPr="00416D10">
              <w:rPr>
                <w:rFonts w:ascii="Arial" w:hAnsi="Arial" w:cs="Arial"/>
                <w:sz w:val="22"/>
                <w:szCs w:val="22"/>
              </w:rPr>
              <w:t xml:space="preserve">  (continued)</w:t>
            </w:r>
          </w:p>
        </w:tc>
        <w:tc>
          <w:tcPr>
            <w:tcW w:w="7110" w:type="dxa"/>
            <w:tcBorders>
              <w:top w:val="single" w:sz="4" w:space="0" w:color="auto"/>
              <w:bottom w:val="nil"/>
            </w:tcBorders>
          </w:tcPr>
          <w:p w:rsidR="00631927" w:rsidRPr="00416D10" w:rsidRDefault="00631927" w:rsidP="00565A86">
            <w:pPr>
              <w:pStyle w:val="Heading2"/>
              <w:rPr>
                <w:rFonts w:ascii="Arial" w:hAnsi="Arial" w:cs="Arial"/>
                <w:sz w:val="22"/>
                <w:szCs w:val="22"/>
              </w:rPr>
            </w:pPr>
            <w:r w:rsidRPr="00416D10">
              <w:rPr>
                <w:rFonts w:ascii="Arial" w:hAnsi="Arial" w:cs="Arial"/>
                <w:sz w:val="22"/>
                <w:szCs w:val="22"/>
                <w:u w:val="single"/>
              </w:rPr>
              <w:t>Completion of additional, general duties</w:t>
            </w:r>
            <w:r w:rsidRPr="00416D10">
              <w:rPr>
                <w:rFonts w:ascii="Arial" w:hAnsi="Arial" w:cs="Arial"/>
                <w:sz w:val="22"/>
                <w:szCs w:val="22"/>
              </w:rPr>
              <w:t>.</w:t>
            </w:r>
          </w:p>
          <w:p w:rsidR="00631927" w:rsidRPr="00416D10" w:rsidRDefault="00631927" w:rsidP="00565A86">
            <w:pPr>
              <w:pStyle w:val="BodyText"/>
              <w:tabs>
                <w:tab w:val="left" w:pos="401"/>
              </w:tabs>
              <w:rPr>
                <w:rFonts w:ascii="Arial" w:hAnsi="Arial" w:cs="Arial"/>
                <w:sz w:val="22"/>
                <w:szCs w:val="22"/>
              </w:rPr>
            </w:pPr>
            <w:r w:rsidRPr="00416D10">
              <w:rPr>
                <w:rFonts w:ascii="Arial" w:hAnsi="Arial" w:cs="Arial"/>
                <w:sz w:val="22"/>
                <w:szCs w:val="22"/>
              </w:rPr>
              <w:tab/>
              <w:t>The Committee is to:</w:t>
            </w:r>
          </w:p>
        </w:tc>
      </w:tr>
      <w:tr w:rsidR="00631927" w:rsidRPr="00416D10">
        <w:tblPrEx>
          <w:tblCellMar>
            <w:top w:w="0" w:type="dxa"/>
            <w:bottom w:w="0" w:type="dxa"/>
          </w:tblCellMar>
        </w:tblPrEx>
        <w:trPr>
          <w:cantSplit/>
        </w:trPr>
        <w:tc>
          <w:tcPr>
            <w:tcW w:w="2720" w:type="dxa"/>
            <w:tcBorders>
              <w:top w:val="nil"/>
              <w:bottom w:val="nil"/>
            </w:tcBorders>
          </w:tcPr>
          <w:p w:rsidR="00631927" w:rsidRPr="00416D10" w:rsidRDefault="00631927" w:rsidP="00565A86">
            <w:pPr>
              <w:rPr>
                <w:rFonts w:ascii="Arial" w:hAnsi="Arial" w:cs="Arial"/>
                <w:sz w:val="22"/>
                <w:szCs w:val="22"/>
              </w:rPr>
            </w:pPr>
          </w:p>
        </w:tc>
        <w:tc>
          <w:tcPr>
            <w:tcW w:w="7110" w:type="dxa"/>
            <w:tcBorders>
              <w:top w:val="nil"/>
              <w:bottom w:val="nil"/>
            </w:tcBorders>
          </w:tcPr>
          <w:p w:rsidR="00631927" w:rsidRPr="00416D10" w:rsidRDefault="00631927" w:rsidP="00565A86">
            <w:pPr>
              <w:pStyle w:val="Heading3"/>
              <w:rPr>
                <w:rFonts w:ascii="Arial" w:hAnsi="Arial" w:cs="Arial"/>
                <w:sz w:val="22"/>
                <w:szCs w:val="22"/>
              </w:rPr>
            </w:pPr>
            <w:r w:rsidRPr="00416D10">
              <w:rPr>
                <w:rFonts w:ascii="Arial" w:hAnsi="Arial" w:cs="Arial"/>
                <w:sz w:val="22"/>
                <w:szCs w:val="22"/>
              </w:rPr>
              <w:t>Review and approve the scope of the annual external audit.</w:t>
            </w:r>
          </w:p>
        </w:tc>
      </w:tr>
      <w:tr w:rsidR="00631927" w:rsidRPr="00416D10" w:rsidTr="00E45C0D">
        <w:tblPrEx>
          <w:tblCellMar>
            <w:top w:w="0" w:type="dxa"/>
            <w:bottom w:w="0" w:type="dxa"/>
          </w:tblCellMar>
        </w:tblPrEx>
        <w:trPr>
          <w:cantSplit/>
        </w:trPr>
        <w:tc>
          <w:tcPr>
            <w:tcW w:w="2720" w:type="dxa"/>
            <w:tcBorders>
              <w:top w:val="nil"/>
              <w:bottom w:val="nil"/>
            </w:tcBorders>
          </w:tcPr>
          <w:p w:rsidR="00631927" w:rsidRPr="00416D10" w:rsidRDefault="00631927" w:rsidP="00565A86">
            <w:pPr>
              <w:rPr>
                <w:rFonts w:ascii="Arial" w:hAnsi="Arial" w:cs="Arial"/>
                <w:sz w:val="22"/>
                <w:szCs w:val="22"/>
              </w:rPr>
            </w:pPr>
          </w:p>
        </w:tc>
        <w:tc>
          <w:tcPr>
            <w:tcW w:w="7110" w:type="dxa"/>
            <w:tcBorders>
              <w:top w:val="nil"/>
              <w:bottom w:val="nil"/>
            </w:tcBorders>
          </w:tcPr>
          <w:p w:rsidR="00631927" w:rsidRPr="00416D10" w:rsidRDefault="00631927" w:rsidP="00565A86">
            <w:pPr>
              <w:pStyle w:val="Heading3"/>
              <w:rPr>
                <w:rFonts w:ascii="Arial" w:hAnsi="Arial" w:cs="Arial"/>
                <w:sz w:val="22"/>
                <w:szCs w:val="22"/>
              </w:rPr>
            </w:pPr>
            <w:r w:rsidRPr="00416D10">
              <w:rPr>
                <w:rFonts w:ascii="Arial" w:hAnsi="Arial" w:cs="Arial"/>
                <w:sz w:val="22"/>
                <w:szCs w:val="22"/>
              </w:rPr>
              <w:t>Request the external auditors to study a particular area of concern or interest, if necessary.</w:t>
            </w:r>
          </w:p>
        </w:tc>
      </w:tr>
      <w:tr w:rsidR="00631927" w:rsidRPr="00416D10" w:rsidTr="00E45C0D">
        <w:tblPrEx>
          <w:tblCellMar>
            <w:top w:w="0" w:type="dxa"/>
            <w:bottom w:w="0" w:type="dxa"/>
          </w:tblCellMar>
        </w:tblPrEx>
        <w:trPr>
          <w:cantSplit/>
        </w:trPr>
        <w:tc>
          <w:tcPr>
            <w:tcW w:w="2720" w:type="dxa"/>
            <w:tcBorders>
              <w:top w:val="nil"/>
              <w:bottom w:val="nil"/>
            </w:tcBorders>
          </w:tcPr>
          <w:p w:rsidR="00631927" w:rsidRPr="00416D10" w:rsidRDefault="00631927" w:rsidP="00565A86">
            <w:pPr>
              <w:rPr>
                <w:rFonts w:ascii="Arial" w:hAnsi="Arial" w:cs="Arial"/>
                <w:sz w:val="22"/>
                <w:szCs w:val="22"/>
              </w:rPr>
            </w:pPr>
          </w:p>
        </w:tc>
        <w:tc>
          <w:tcPr>
            <w:tcW w:w="7110" w:type="dxa"/>
            <w:tcBorders>
              <w:top w:val="nil"/>
              <w:bottom w:val="nil"/>
            </w:tcBorders>
          </w:tcPr>
          <w:p w:rsidR="00631927" w:rsidRPr="00416D10" w:rsidRDefault="00631927" w:rsidP="00565A86">
            <w:pPr>
              <w:pStyle w:val="Heading3"/>
              <w:rPr>
                <w:rFonts w:ascii="Arial" w:hAnsi="Arial" w:cs="Arial"/>
                <w:sz w:val="22"/>
                <w:szCs w:val="22"/>
              </w:rPr>
            </w:pPr>
            <w:r w:rsidRPr="00416D10">
              <w:rPr>
                <w:rFonts w:ascii="Arial" w:hAnsi="Arial" w:cs="Arial"/>
                <w:sz w:val="22"/>
                <w:szCs w:val="22"/>
              </w:rPr>
              <w:t>Approve in advance any audit or non-audit services provided by the external auditors.</w:t>
            </w:r>
          </w:p>
        </w:tc>
      </w:tr>
      <w:tr w:rsidR="00631927" w:rsidRPr="00416D10" w:rsidTr="00E45C0D">
        <w:tblPrEx>
          <w:tblCellMar>
            <w:top w:w="0" w:type="dxa"/>
            <w:bottom w:w="0" w:type="dxa"/>
          </w:tblCellMar>
        </w:tblPrEx>
        <w:trPr>
          <w:cantSplit/>
        </w:trPr>
        <w:tc>
          <w:tcPr>
            <w:tcW w:w="2720" w:type="dxa"/>
            <w:tcBorders>
              <w:top w:val="nil"/>
              <w:bottom w:val="nil"/>
            </w:tcBorders>
          </w:tcPr>
          <w:p w:rsidR="00631927" w:rsidRPr="00416D10" w:rsidRDefault="00631927" w:rsidP="00565A86">
            <w:pPr>
              <w:rPr>
                <w:rFonts w:ascii="Arial" w:hAnsi="Arial" w:cs="Arial"/>
                <w:sz w:val="22"/>
                <w:szCs w:val="22"/>
              </w:rPr>
            </w:pPr>
          </w:p>
        </w:tc>
        <w:tc>
          <w:tcPr>
            <w:tcW w:w="7110" w:type="dxa"/>
            <w:tcBorders>
              <w:top w:val="nil"/>
              <w:bottom w:val="nil"/>
            </w:tcBorders>
          </w:tcPr>
          <w:p w:rsidR="00631927" w:rsidRPr="00416D10" w:rsidRDefault="00631927" w:rsidP="00565A86">
            <w:pPr>
              <w:pStyle w:val="Heading3"/>
              <w:rPr>
                <w:rFonts w:ascii="Arial" w:hAnsi="Arial" w:cs="Arial"/>
                <w:sz w:val="22"/>
                <w:szCs w:val="22"/>
              </w:rPr>
            </w:pPr>
            <w:r w:rsidRPr="00416D10">
              <w:rPr>
                <w:rFonts w:ascii="Arial" w:hAnsi="Arial" w:cs="Arial"/>
                <w:sz w:val="22"/>
                <w:szCs w:val="22"/>
              </w:rPr>
              <w:t>Review and approve internal audit plans and reports.</w:t>
            </w:r>
          </w:p>
        </w:tc>
      </w:tr>
      <w:tr w:rsidR="00631927" w:rsidRPr="00416D10">
        <w:tblPrEx>
          <w:tblCellMar>
            <w:top w:w="0" w:type="dxa"/>
            <w:bottom w:w="0" w:type="dxa"/>
          </w:tblCellMar>
        </w:tblPrEx>
        <w:trPr>
          <w:cantSplit/>
        </w:trPr>
        <w:tc>
          <w:tcPr>
            <w:tcW w:w="2720" w:type="dxa"/>
            <w:tcBorders>
              <w:top w:val="nil"/>
              <w:bottom w:val="nil"/>
            </w:tcBorders>
          </w:tcPr>
          <w:p w:rsidR="00631927" w:rsidRPr="00416D10" w:rsidRDefault="00631927" w:rsidP="00565A86">
            <w:pPr>
              <w:rPr>
                <w:rFonts w:ascii="Arial" w:hAnsi="Arial" w:cs="Arial"/>
                <w:sz w:val="22"/>
                <w:szCs w:val="22"/>
              </w:rPr>
            </w:pPr>
          </w:p>
        </w:tc>
        <w:tc>
          <w:tcPr>
            <w:tcW w:w="7110" w:type="dxa"/>
            <w:tcBorders>
              <w:top w:val="nil"/>
              <w:bottom w:val="nil"/>
            </w:tcBorders>
          </w:tcPr>
          <w:p w:rsidR="00631927" w:rsidRPr="00416D10" w:rsidRDefault="00631927" w:rsidP="00565A86">
            <w:pPr>
              <w:pStyle w:val="Heading3"/>
              <w:rPr>
                <w:rFonts w:ascii="Arial" w:hAnsi="Arial" w:cs="Arial"/>
                <w:sz w:val="22"/>
                <w:szCs w:val="22"/>
              </w:rPr>
            </w:pPr>
            <w:r w:rsidRPr="00416D10">
              <w:rPr>
                <w:rFonts w:ascii="Arial" w:hAnsi="Arial" w:cs="Arial"/>
                <w:sz w:val="22"/>
                <w:szCs w:val="22"/>
              </w:rPr>
              <w:t>Initiate special audits and review and approve the areas targeted for special audit work.</w:t>
            </w:r>
          </w:p>
        </w:tc>
      </w:tr>
      <w:tr w:rsidR="00631927" w:rsidRPr="00416D10">
        <w:tblPrEx>
          <w:tblCellMar>
            <w:top w:w="0" w:type="dxa"/>
            <w:bottom w:w="0" w:type="dxa"/>
          </w:tblCellMar>
        </w:tblPrEx>
        <w:trPr>
          <w:cantSplit/>
        </w:trPr>
        <w:tc>
          <w:tcPr>
            <w:tcW w:w="2720" w:type="dxa"/>
            <w:tcBorders>
              <w:top w:val="nil"/>
              <w:bottom w:val="nil"/>
            </w:tcBorders>
          </w:tcPr>
          <w:p w:rsidR="00631927" w:rsidRPr="00416D10" w:rsidRDefault="00631927" w:rsidP="00565A86">
            <w:pPr>
              <w:rPr>
                <w:rFonts w:ascii="Arial" w:hAnsi="Arial" w:cs="Arial"/>
                <w:sz w:val="22"/>
                <w:szCs w:val="22"/>
              </w:rPr>
            </w:pPr>
          </w:p>
        </w:tc>
        <w:tc>
          <w:tcPr>
            <w:tcW w:w="7110" w:type="dxa"/>
            <w:tcBorders>
              <w:top w:val="nil"/>
              <w:bottom w:val="nil"/>
            </w:tcBorders>
          </w:tcPr>
          <w:p w:rsidR="00631927" w:rsidRPr="00416D10" w:rsidRDefault="00631927" w:rsidP="00565A86">
            <w:pPr>
              <w:pStyle w:val="Heading3"/>
              <w:rPr>
                <w:rFonts w:ascii="Arial" w:hAnsi="Arial" w:cs="Arial"/>
                <w:sz w:val="22"/>
                <w:szCs w:val="22"/>
              </w:rPr>
            </w:pPr>
            <w:r w:rsidRPr="00416D10">
              <w:rPr>
                <w:rFonts w:ascii="Arial" w:hAnsi="Arial" w:cs="Arial"/>
                <w:sz w:val="22"/>
                <w:szCs w:val="22"/>
              </w:rPr>
              <w:t>Review and approve the audit reports issued in conjunction with the special audit work, including management responses and plans to address those areas identified during the audits.</w:t>
            </w:r>
          </w:p>
        </w:tc>
      </w:tr>
      <w:tr w:rsidR="00631927" w:rsidRPr="00416D10">
        <w:tblPrEx>
          <w:tblCellMar>
            <w:top w:w="0" w:type="dxa"/>
            <w:bottom w:w="0" w:type="dxa"/>
          </w:tblCellMar>
        </w:tblPrEx>
        <w:trPr>
          <w:cantSplit/>
        </w:trPr>
        <w:tc>
          <w:tcPr>
            <w:tcW w:w="2720" w:type="dxa"/>
            <w:tcBorders>
              <w:top w:val="nil"/>
              <w:bottom w:val="nil"/>
            </w:tcBorders>
          </w:tcPr>
          <w:p w:rsidR="00631927" w:rsidRPr="00416D10" w:rsidRDefault="00631927" w:rsidP="00565A86">
            <w:pPr>
              <w:rPr>
                <w:rFonts w:ascii="Arial" w:hAnsi="Arial" w:cs="Arial"/>
                <w:sz w:val="22"/>
                <w:szCs w:val="22"/>
              </w:rPr>
            </w:pPr>
          </w:p>
        </w:tc>
        <w:tc>
          <w:tcPr>
            <w:tcW w:w="7110" w:type="dxa"/>
            <w:tcBorders>
              <w:top w:val="nil"/>
              <w:bottom w:val="nil"/>
            </w:tcBorders>
          </w:tcPr>
          <w:p w:rsidR="00631927" w:rsidRPr="00416D10" w:rsidRDefault="00631927" w:rsidP="00565A86">
            <w:pPr>
              <w:pStyle w:val="Heading3"/>
              <w:rPr>
                <w:rFonts w:ascii="Arial" w:hAnsi="Arial" w:cs="Arial"/>
                <w:sz w:val="22"/>
                <w:szCs w:val="22"/>
              </w:rPr>
            </w:pPr>
            <w:r w:rsidRPr="00416D10">
              <w:rPr>
                <w:rFonts w:ascii="Arial" w:hAnsi="Arial" w:cs="Arial"/>
                <w:sz w:val="22"/>
                <w:szCs w:val="22"/>
              </w:rPr>
              <w:t>Request audits of internal controls and procedures, as necessary.</w:t>
            </w:r>
          </w:p>
        </w:tc>
      </w:tr>
      <w:tr w:rsidR="00631927" w:rsidRPr="00416D10">
        <w:tblPrEx>
          <w:tblCellMar>
            <w:top w:w="0" w:type="dxa"/>
            <w:bottom w:w="0" w:type="dxa"/>
          </w:tblCellMar>
        </w:tblPrEx>
        <w:tc>
          <w:tcPr>
            <w:tcW w:w="2720" w:type="dxa"/>
            <w:tcBorders>
              <w:top w:val="nil"/>
              <w:left w:val="single" w:sz="4" w:space="0" w:color="auto"/>
              <w:bottom w:val="nil"/>
              <w:right w:val="single" w:sz="4" w:space="0" w:color="auto"/>
            </w:tcBorders>
          </w:tcPr>
          <w:p w:rsidR="00631927" w:rsidRPr="00416D10" w:rsidRDefault="00631927" w:rsidP="00565A86">
            <w:pPr>
              <w:rPr>
                <w:rFonts w:ascii="Arial" w:hAnsi="Arial" w:cs="Arial"/>
                <w:sz w:val="22"/>
                <w:szCs w:val="22"/>
              </w:rPr>
            </w:pPr>
          </w:p>
        </w:tc>
        <w:tc>
          <w:tcPr>
            <w:tcW w:w="7110" w:type="dxa"/>
            <w:tcBorders>
              <w:top w:val="nil"/>
              <w:left w:val="single" w:sz="4" w:space="0" w:color="auto"/>
              <w:bottom w:val="nil"/>
              <w:right w:val="single" w:sz="4" w:space="0" w:color="auto"/>
            </w:tcBorders>
          </w:tcPr>
          <w:p w:rsidR="00631927" w:rsidRPr="00416D10" w:rsidRDefault="00631927" w:rsidP="00565A86">
            <w:pPr>
              <w:pStyle w:val="Heading3"/>
              <w:rPr>
                <w:rFonts w:ascii="Arial" w:hAnsi="Arial" w:cs="Arial"/>
                <w:sz w:val="22"/>
                <w:szCs w:val="22"/>
              </w:rPr>
            </w:pPr>
            <w:r w:rsidRPr="00416D10">
              <w:rPr>
                <w:rFonts w:ascii="Arial" w:hAnsi="Arial" w:cs="Arial"/>
                <w:sz w:val="22"/>
                <w:szCs w:val="22"/>
              </w:rPr>
              <w:t>Report to the Boards at each regularly scheduled meeting, as well as to the shareholders at the Annual General Meeting.</w:t>
            </w:r>
          </w:p>
        </w:tc>
      </w:tr>
      <w:tr w:rsidR="00631927" w:rsidRPr="00416D10">
        <w:tblPrEx>
          <w:tblCellMar>
            <w:top w:w="0" w:type="dxa"/>
            <w:bottom w:w="0" w:type="dxa"/>
          </w:tblCellMar>
        </w:tblPrEx>
        <w:tc>
          <w:tcPr>
            <w:tcW w:w="2720" w:type="dxa"/>
            <w:tcBorders>
              <w:top w:val="nil"/>
              <w:left w:val="single" w:sz="4" w:space="0" w:color="auto"/>
              <w:bottom w:val="nil"/>
              <w:right w:val="single" w:sz="4" w:space="0" w:color="auto"/>
            </w:tcBorders>
          </w:tcPr>
          <w:p w:rsidR="00631927" w:rsidRPr="00416D10" w:rsidRDefault="00631927" w:rsidP="00565A86">
            <w:pPr>
              <w:rPr>
                <w:rFonts w:ascii="Arial" w:hAnsi="Arial" w:cs="Arial"/>
                <w:sz w:val="22"/>
                <w:szCs w:val="22"/>
              </w:rPr>
            </w:pPr>
          </w:p>
        </w:tc>
        <w:tc>
          <w:tcPr>
            <w:tcW w:w="7110" w:type="dxa"/>
            <w:tcBorders>
              <w:top w:val="nil"/>
              <w:left w:val="single" w:sz="4" w:space="0" w:color="auto"/>
              <w:bottom w:val="nil"/>
              <w:right w:val="single" w:sz="4" w:space="0" w:color="auto"/>
            </w:tcBorders>
          </w:tcPr>
          <w:p w:rsidR="00631927" w:rsidRPr="00416D10" w:rsidRDefault="00975E0C" w:rsidP="00B06472">
            <w:pPr>
              <w:pStyle w:val="Heading3"/>
              <w:rPr>
                <w:rFonts w:ascii="Arial" w:hAnsi="Arial" w:cs="Arial"/>
                <w:sz w:val="22"/>
                <w:szCs w:val="22"/>
              </w:rPr>
            </w:pPr>
            <w:r w:rsidRPr="00416D10">
              <w:rPr>
                <w:rFonts w:ascii="Arial" w:hAnsi="Arial" w:cs="Arial"/>
                <w:sz w:val="22"/>
                <w:szCs w:val="22"/>
              </w:rPr>
              <w:t>Conduct a</w:t>
            </w:r>
            <w:r w:rsidR="00631927" w:rsidRPr="00416D10">
              <w:rPr>
                <w:rFonts w:ascii="Arial" w:hAnsi="Arial" w:cs="Arial"/>
                <w:sz w:val="22"/>
                <w:szCs w:val="22"/>
              </w:rPr>
              <w:t xml:space="preserve"> </w:t>
            </w:r>
            <w:r w:rsidR="00B06472" w:rsidRPr="00416D10">
              <w:rPr>
                <w:rFonts w:ascii="Arial" w:hAnsi="Arial" w:cs="Arial"/>
                <w:sz w:val="22"/>
                <w:szCs w:val="22"/>
              </w:rPr>
              <w:t>bi-annual</w:t>
            </w:r>
            <w:r w:rsidR="00631927" w:rsidRPr="00416D10">
              <w:rPr>
                <w:rFonts w:ascii="Arial" w:hAnsi="Arial" w:cs="Arial"/>
                <w:sz w:val="22"/>
                <w:szCs w:val="22"/>
              </w:rPr>
              <w:t xml:space="preserve"> self-evaluation of the Committee.</w:t>
            </w:r>
          </w:p>
        </w:tc>
      </w:tr>
      <w:tr w:rsidR="00631927" w:rsidRPr="00416D10">
        <w:tblPrEx>
          <w:tblCellMar>
            <w:top w:w="0" w:type="dxa"/>
            <w:bottom w:w="0" w:type="dxa"/>
          </w:tblCellMar>
        </w:tblPrEx>
        <w:trPr>
          <w:cantSplit/>
        </w:trPr>
        <w:tc>
          <w:tcPr>
            <w:tcW w:w="2720" w:type="dxa"/>
            <w:tcBorders>
              <w:top w:val="nil"/>
              <w:bottom w:val="single" w:sz="4" w:space="0" w:color="auto"/>
            </w:tcBorders>
          </w:tcPr>
          <w:p w:rsidR="00631927" w:rsidRPr="00416D10" w:rsidRDefault="00631927" w:rsidP="00565A86">
            <w:pPr>
              <w:rPr>
                <w:rFonts w:ascii="Arial" w:hAnsi="Arial" w:cs="Arial"/>
                <w:sz w:val="22"/>
                <w:szCs w:val="22"/>
              </w:rPr>
            </w:pPr>
          </w:p>
        </w:tc>
        <w:tc>
          <w:tcPr>
            <w:tcW w:w="7110" w:type="dxa"/>
            <w:tcBorders>
              <w:top w:val="nil"/>
              <w:bottom w:val="single" w:sz="4" w:space="0" w:color="auto"/>
            </w:tcBorders>
          </w:tcPr>
          <w:p w:rsidR="00631927" w:rsidRPr="00416D10" w:rsidRDefault="00631927" w:rsidP="00565A86">
            <w:pPr>
              <w:pStyle w:val="Heading3"/>
              <w:rPr>
                <w:rFonts w:ascii="Arial" w:hAnsi="Arial" w:cs="Arial"/>
                <w:sz w:val="22"/>
                <w:szCs w:val="22"/>
              </w:rPr>
            </w:pPr>
            <w:r w:rsidRPr="00416D10">
              <w:rPr>
                <w:rFonts w:ascii="Arial" w:hAnsi="Arial" w:cs="Arial"/>
                <w:sz w:val="22"/>
                <w:szCs w:val="22"/>
              </w:rPr>
              <w:t>Perform other functions as requested by the respective Boards of Directors.</w:t>
            </w:r>
          </w:p>
        </w:tc>
      </w:tr>
    </w:tbl>
    <w:p w:rsidR="00631927" w:rsidRPr="00416D10" w:rsidRDefault="00631927" w:rsidP="00631927">
      <w:pPr>
        <w:rPr>
          <w:rFonts w:ascii="Arial" w:hAnsi="Arial" w:cs="Arial"/>
          <w:sz w:val="22"/>
          <w:szCs w:val="22"/>
        </w:rPr>
      </w:pPr>
      <w:r w:rsidRPr="00416D10">
        <w:rPr>
          <w:rFonts w:ascii="Arial" w:hAnsi="Arial" w:cs="Arial"/>
          <w:sz w:val="22"/>
          <w:szCs w:val="22"/>
        </w:rPr>
        <w:br w:type="page"/>
      </w:r>
    </w:p>
    <w:tbl>
      <w:tblPr>
        <w:tblW w:w="98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720"/>
        <w:gridCol w:w="7110"/>
      </w:tblGrid>
      <w:tr w:rsidR="00631927" w:rsidRPr="00416D10">
        <w:tblPrEx>
          <w:tblCellMar>
            <w:top w:w="0" w:type="dxa"/>
            <w:bottom w:w="0" w:type="dxa"/>
          </w:tblCellMar>
        </w:tblPrEx>
        <w:trPr>
          <w:cantSplit/>
        </w:trPr>
        <w:tc>
          <w:tcPr>
            <w:tcW w:w="2720" w:type="dxa"/>
            <w:tcBorders>
              <w:top w:val="single" w:sz="4" w:space="0" w:color="auto"/>
              <w:bottom w:val="nil"/>
            </w:tcBorders>
          </w:tcPr>
          <w:p w:rsidR="00631927" w:rsidRPr="00416D10" w:rsidRDefault="00E45C0D" w:rsidP="00565A86">
            <w:pPr>
              <w:rPr>
                <w:rFonts w:ascii="Arial" w:hAnsi="Arial" w:cs="Arial"/>
                <w:sz w:val="22"/>
                <w:szCs w:val="22"/>
              </w:rPr>
            </w:pPr>
            <w:r w:rsidRPr="00416D10">
              <w:rPr>
                <w:rFonts w:ascii="Arial" w:hAnsi="Arial" w:cs="Arial"/>
                <w:sz w:val="22"/>
                <w:szCs w:val="22"/>
              </w:rPr>
              <w:t>I</w:t>
            </w:r>
            <w:r w:rsidR="00C44418" w:rsidRPr="00416D10">
              <w:rPr>
                <w:rFonts w:ascii="Arial" w:hAnsi="Arial" w:cs="Arial"/>
                <w:sz w:val="22"/>
                <w:szCs w:val="22"/>
              </w:rPr>
              <w:t>V.</w:t>
            </w:r>
            <w:r w:rsidR="00357F1F" w:rsidRPr="00416D10">
              <w:rPr>
                <w:rFonts w:ascii="Arial" w:hAnsi="Arial" w:cs="Arial"/>
                <w:sz w:val="22"/>
                <w:szCs w:val="22"/>
              </w:rPr>
              <w:t xml:space="preserve">  (continued)</w:t>
            </w:r>
          </w:p>
        </w:tc>
        <w:tc>
          <w:tcPr>
            <w:tcW w:w="7110" w:type="dxa"/>
            <w:tcBorders>
              <w:top w:val="single" w:sz="4" w:space="0" w:color="auto"/>
              <w:bottom w:val="nil"/>
            </w:tcBorders>
          </w:tcPr>
          <w:p w:rsidR="00631927" w:rsidRPr="00416D10" w:rsidRDefault="00631927" w:rsidP="00565A86">
            <w:pPr>
              <w:pStyle w:val="Heading2"/>
              <w:rPr>
                <w:rFonts w:ascii="Arial" w:hAnsi="Arial" w:cs="Arial"/>
                <w:sz w:val="22"/>
                <w:szCs w:val="22"/>
              </w:rPr>
            </w:pPr>
            <w:r w:rsidRPr="00416D10">
              <w:rPr>
                <w:rFonts w:ascii="Arial" w:hAnsi="Arial" w:cs="Arial"/>
                <w:sz w:val="22"/>
                <w:szCs w:val="22"/>
                <w:u w:val="single"/>
              </w:rPr>
              <w:t>Completion of optional duties (when appropriate)</w:t>
            </w:r>
            <w:r w:rsidRPr="00416D10">
              <w:rPr>
                <w:rFonts w:ascii="Arial" w:hAnsi="Arial" w:cs="Arial"/>
                <w:sz w:val="22"/>
                <w:szCs w:val="22"/>
              </w:rPr>
              <w:t>.</w:t>
            </w:r>
          </w:p>
          <w:p w:rsidR="00631927" w:rsidRPr="00416D10" w:rsidRDefault="00631927" w:rsidP="00565A86">
            <w:pPr>
              <w:pStyle w:val="BodyText"/>
              <w:tabs>
                <w:tab w:val="left" w:pos="401"/>
              </w:tabs>
              <w:rPr>
                <w:rFonts w:ascii="Arial" w:hAnsi="Arial" w:cs="Arial"/>
                <w:sz w:val="22"/>
                <w:szCs w:val="22"/>
              </w:rPr>
            </w:pPr>
            <w:r w:rsidRPr="00416D10">
              <w:rPr>
                <w:rFonts w:ascii="Arial" w:hAnsi="Arial" w:cs="Arial"/>
                <w:sz w:val="22"/>
                <w:szCs w:val="22"/>
              </w:rPr>
              <w:tab/>
              <w:t>The Committee may:</w:t>
            </w:r>
          </w:p>
        </w:tc>
      </w:tr>
      <w:tr w:rsidR="00631927" w:rsidRPr="00416D10">
        <w:tblPrEx>
          <w:tblCellMar>
            <w:top w:w="0" w:type="dxa"/>
            <w:bottom w:w="0" w:type="dxa"/>
          </w:tblCellMar>
        </w:tblPrEx>
        <w:trPr>
          <w:cantSplit/>
        </w:trPr>
        <w:tc>
          <w:tcPr>
            <w:tcW w:w="2720" w:type="dxa"/>
            <w:tcBorders>
              <w:top w:val="nil"/>
              <w:bottom w:val="nil"/>
            </w:tcBorders>
          </w:tcPr>
          <w:p w:rsidR="00631927" w:rsidRPr="00416D10" w:rsidRDefault="00631927" w:rsidP="00565A86">
            <w:pPr>
              <w:rPr>
                <w:rFonts w:ascii="Arial" w:hAnsi="Arial" w:cs="Arial"/>
                <w:sz w:val="22"/>
                <w:szCs w:val="22"/>
              </w:rPr>
            </w:pPr>
          </w:p>
        </w:tc>
        <w:tc>
          <w:tcPr>
            <w:tcW w:w="7110" w:type="dxa"/>
            <w:tcBorders>
              <w:top w:val="nil"/>
              <w:bottom w:val="nil"/>
            </w:tcBorders>
          </w:tcPr>
          <w:p w:rsidR="00631927" w:rsidRPr="00416D10" w:rsidRDefault="00631927" w:rsidP="00565A86">
            <w:pPr>
              <w:pStyle w:val="Heading3"/>
              <w:rPr>
                <w:rFonts w:ascii="Arial" w:hAnsi="Arial" w:cs="Arial"/>
                <w:sz w:val="22"/>
                <w:szCs w:val="22"/>
              </w:rPr>
            </w:pPr>
            <w:r w:rsidRPr="00416D10">
              <w:rPr>
                <w:rFonts w:ascii="Arial" w:hAnsi="Arial" w:cs="Arial"/>
                <w:sz w:val="22"/>
                <w:szCs w:val="22"/>
              </w:rPr>
              <w:t>Form and delegate authority to subcommittees comprising one or more members of the Committee, including the authority to grant pre-approvals of audit and non-audit services, provided that such decisions by the subcommittee must be presented to the full Committee at its next scheduled meeting.</w:t>
            </w:r>
          </w:p>
        </w:tc>
      </w:tr>
      <w:tr w:rsidR="00631927" w:rsidRPr="007612A7">
        <w:tblPrEx>
          <w:tblCellMar>
            <w:top w:w="0" w:type="dxa"/>
            <w:bottom w:w="0" w:type="dxa"/>
          </w:tblCellMar>
        </w:tblPrEx>
        <w:trPr>
          <w:cantSplit/>
        </w:trPr>
        <w:tc>
          <w:tcPr>
            <w:tcW w:w="2720" w:type="dxa"/>
            <w:tcBorders>
              <w:top w:val="nil"/>
              <w:bottom w:val="single" w:sz="4" w:space="0" w:color="auto"/>
            </w:tcBorders>
          </w:tcPr>
          <w:p w:rsidR="00631927" w:rsidRPr="00416D10" w:rsidRDefault="00631927" w:rsidP="00565A86">
            <w:pPr>
              <w:rPr>
                <w:rFonts w:ascii="Arial" w:hAnsi="Arial" w:cs="Arial"/>
                <w:sz w:val="22"/>
                <w:szCs w:val="22"/>
              </w:rPr>
            </w:pPr>
          </w:p>
        </w:tc>
        <w:tc>
          <w:tcPr>
            <w:tcW w:w="7110" w:type="dxa"/>
            <w:tcBorders>
              <w:top w:val="nil"/>
              <w:bottom w:val="single" w:sz="4" w:space="0" w:color="auto"/>
            </w:tcBorders>
          </w:tcPr>
          <w:p w:rsidR="00631927" w:rsidRPr="00416D10" w:rsidRDefault="00631927" w:rsidP="00565A86">
            <w:pPr>
              <w:pStyle w:val="Heading3"/>
              <w:rPr>
                <w:rFonts w:ascii="Arial" w:hAnsi="Arial" w:cs="Arial"/>
                <w:sz w:val="22"/>
                <w:szCs w:val="22"/>
              </w:rPr>
            </w:pPr>
            <w:r w:rsidRPr="00416D10">
              <w:rPr>
                <w:rFonts w:ascii="Arial" w:hAnsi="Arial" w:cs="Arial"/>
                <w:sz w:val="22"/>
                <w:szCs w:val="22"/>
              </w:rPr>
              <w:t>Utilize the services of independent auditors, outside counsel or other advisors as it deems appropriate in carrying out its duties.  The Company will provide the Committee with appropriate funding, as the Committee determines, for the payment of compensation to the Company's independent auditor, outside counsel, and other advisors, and administrative expenses of the Committee that are necessary or appropriate in carrying out its duties. In discharging its oversight role, the Committee is empowered to investigate any matter brought to its attention. The Committee will have access to the Company's books, records, facilities, and personnel. Any communications between the Committee and any legal counsel in the course of obtaining legal advice will be considered privileged and confidential communications of the Company, and the Committee will take all necessary steps to preserve the privileged and confidential nature of those communications.</w:t>
            </w:r>
          </w:p>
        </w:tc>
      </w:tr>
    </w:tbl>
    <w:p w:rsidR="00631927" w:rsidRPr="007612A7" w:rsidRDefault="00631927" w:rsidP="00631927">
      <w:pPr>
        <w:rPr>
          <w:rFonts w:ascii="Arial" w:hAnsi="Arial" w:cs="Arial"/>
          <w:sz w:val="22"/>
          <w:szCs w:val="22"/>
        </w:rPr>
      </w:pPr>
    </w:p>
    <w:p w:rsidR="00631927" w:rsidRPr="007612A7" w:rsidRDefault="00631927" w:rsidP="00631927">
      <w:pPr>
        <w:rPr>
          <w:rFonts w:ascii="Arial" w:hAnsi="Arial" w:cs="Arial"/>
          <w:sz w:val="22"/>
          <w:szCs w:val="22"/>
        </w:rPr>
      </w:pPr>
    </w:p>
    <w:p w:rsidR="000C0033" w:rsidRPr="00A8777F" w:rsidRDefault="000C0033">
      <w:pPr>
        <w:rPr>
          <w:rFonts w:ascii="Arial" w:hAnsi="Arial" w:cs="Arial"/>
          <w:sz w:val="22"/>
          <w:szCs w:val="22"/>
        </w:rPr>
      </w:pPr>
    </w:p>
    <w:sectPr w:rsidR="000C0033" w:rsidRPr="00A8777F" w:rsidSect="00565A86">
      <w:headerReference w:type="default" r:id="rId8"/>
      <w:footerReference w:type="default" r:id="rId9"/>
      <w:headerReference w:type="first" r:id="rId10"/>
      <w:footerReference w:type="first" r:id="rId11"/>
      <w:pgSz w:w="12240" w:h="15840" w:code="1"/>
      <w:pgMar w:top="2160" w:right="90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A11" w:rsidRDefault="00964A11" w:rsidP="00631927">
      <w:r>
        <w:separator/>
      </w:r>
    </w:p>
  </w:endnote>
  <w:endnote w:type="continuationSeparator" w:id="0">
    <w:p w:rsidR="00964A11" w:rsidRDefault="00964A11" w:rsidP="00631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A52" w:rsidRDefault="008107A2" w:rsidP="00565A86">
    <w:pPr>
      <w:pStyle w:val="Footer"/>
      <w:tabs>
        <w:tab w:val="clear" w:pos="9360"/>
        <w:tab w:val="left" w:pos="5145"/>
      </w:tabs>
    </w:pPr>
    <w:r>
      <w:rPr>
        <w:rFonts w:ascii="Arial" w:hAnsi="Arial" w:cs="Arial"/>
      </w:rPr>
      <w:t>DECEMBER</w:t>
    </w:r>
    <w:r w:rsidR="00D174B6">
      <w:rPr>
        <w:rFonts w:ascii="Arial" w:hAnsi="Arial" w:cs="Arial"/>
      </w:rPr>
      <w:t xml:space="preserve"> 2018</w:t>
    </w:r>
    <w:r w:rsidR="00396A52">
      <w:tab/>
    </w:r>
    <w:r w:rsidR="00396A52">
      <w:rPr>
        <w:rStyle w:val="PageNumber"/>
      </w:rPr>
      <w:fldChar w:fldCharType="begin"/>
    </w:r>
    <w:r w:rsidR="00396A52">
      <w:rPr>
        <w:rStyle w:val="PageNumber"/>
      </w:rPr>
      <w:instrText xml:space="preserve"> PAGE </w:instrText>
    </w:r>
    <w:r w:rsidR="00396A52">
      <w:rPr>
        <w:rStyle w:val="PageNumber"/>
      </w:rPr>
      <w:fldChar w:fldCharType="separate"/>
    </w:r>
    <w:r w:rsidR="00F35AB4">
      <w:rPr>
        <w:rStyle w:val="PageNumber"/>
        <w:noProof/>
      </w:rPr>
      <w:t>7</w:t>
    </w:r>
    <w:r w:rsidR="00396A52">
      <w:rPr>
        <w:rStyle w:val="PageNumber"/>
      </w:rPr>
      <w:fldChar w:fldCharType="end"/>
    </w:r>
    <w:r w:rsidR="00396A52">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A52" w:rsidRDefault="00396A52">
    <w:pPr>
      <w:pStyle w:val="Footer"/>
      <w:rPr>
        <w:rFonts w:ascii="Arial" w:hAnsi="Arial"/>
      </w:rPr>
    </w:pPr>
  </w:p>
  <w:p w:rsidR="00396A52" w:rsidRPr="00462C28" w:rsidRDefault="00A342EC">
    <w:pPr>
      <w:pStyle w:val="Footer"/>
      <w:rPr>
        <w:rFonts w:ascii="Arial" w:hAnsi="Arial"/>
      </w:rPr>
    </w:pPr>
    <w:r>
      <w:rPr>
        <w:rFonts w:ascii="Arial" w:hAnsi="Arial"/>
      </w:rPr>
      <w:t xml:space="preserve">FINAL </w:t>
    </w:r>
    <w:r w:rsidR="008107A2">
      <w:rPr>
        <w:rFonts w:ascii="Arial" w:hAnsi="Arial"/>
      </w:rPr>
      <w:t>DECEMBER</w:t>
    </w:r>
    <w:r w:rsidR="00D174B6">
      <w:rPr>
        <w:rFonts w:ascii="Arial" w:hAnsi="Arial"/>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A11" w:rsidRDefault="00964A11" w:rsidP="00631927">
      <w:r>
        <w:separator/>
      </w:r>
    </w:p>
  </w:footnote>
  <w:footnote w:type="continuationSeparator" w:id="0">
    <w:p w:rsidR="00964A11" w:rsidRDefault="00964A11" w:rsidP="00631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A52" w:rsidRPr="003D46F7" w:rsidRDefault="00396A52" w:rsidP="00565A86">
    <w:pPr>
      <w:jc w:val="center"/>
      <w:rPr>
        <w:rFonts w:ascii="Tahoma" w:hAnsi="Tahoma"/>
        <w:b/>
      </w:rPr>
    </w:pPr>
    <w:r w:rsidRPr="003D46F7">
      <w:rPr>
        <w:rFonts w:ascii="Tahoma" w:hAnsi="Tahoma"/>
        <w:b/>
      </w:rPr>
      <w:t>OIL INSURANCE LIMITED</w:t>
    </w:r>
  </w:p>
  <w:p w:rsidR="00396A52" w:rsidRPr="003D46F7" w:rsidRDefault="00396A52" w:rsidP="00565A86">
    <w:pPr>
      <w:jc w:val="center"/>
      <w:rPr>
        <w:rFonts w:ascii="Tahoma" w:hAnsi="Tahoma"/>
        <w:b/>
      </w:rPr>
    </w:pPr>
    <w:r w:rsidRPr="003D46F7">
      <w:rPr>
        <w:rFonts w:ascii="Tahoma" w:hAnsi="Tahoma"/>
        <w:b/>
      </w:rPr>
      <w:t>OIL CASUALTY INSURANCE, LTD</w:t>
    </w:r>
  </w:p>
  <w:p w:rsidR="00396A52" w:rsidRPr="001B4D06" w:rsidRDefault="00396A52" w:rsidP="00565A86"/>
  <w:p w:rsidR="00396A52" w:rsidRPr="004F1A22" w:rsidRDefault="00396A52" w:rsidP="00565A86">
    <w:pPr>
      <w:pStyle w:val="Subtitle"/>
      <w:jc w:val="center"/>
      <w:rPr>
        <w:rFonts w:ascii="Tahoma" w:hAnsi="Tahoma" w:cs="Tahoma"/>
      </w:rPr>
    </w:pPr>
    <w:r w:rsidRPr="004F1A22">
      <w:rPr>
        <w:rFonts w:ascii="Tahoma" w:hAnsi="Tahoma" w:cs="Tahoma"/>
      </w:rPr>
      <w:t>Joint Audit Committee Charter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50A" w:rsidRDefault="006C350A" w:rsidP="008107A2">
    <w:pPr>
      <w:jc w:val="right"/>
      <w:rPr>
        <w:rFonts w:ascii="Tahoma" w:hAnsi="Tahoma"/>
        <w:sz w:val="20"/>
        <w:szCs w:val="20"/>
      </w:rPr>
    </w:pPr>
  </w:p>
  <w:p w:rsidR="00396A52" w:rsidRPr="003D46F7" w:rsidRDefault="00396A52" w:rsidP="00565A86">
    <w:pPr>
      <w:jc w:val="center"/>
      <w:rPr>
        <w:rFonts w:ascii="Tahoma" w:hAnsi="Tahoma"/>
        <w:b/>
      </w:rPr>
    </w:pPr>
    <w:r w:rsidRPr="003D46F7">
      <w:rPr>
        <w:rFonts w:ascii="Tahoma" w:hAnsi="Tahoma"/>
        <w:b/>
      </w:rPr>
      <w:t>OIL INSURANCE LIMITED</w:t>
    </w:r>
  </w:p>
  <w:p w:rsidR="00396A52" w:rsidRPr="003D46F7" w:rsidRDefault="00396A52" w:rsidP="00526E38">
    <w:pPr>
      <w:jc w:val="center"/>
      <w:rPr>
        <w:rFonts w:ascii="Tahoma" w:hAnsi="Tahoma"/>
        <w:b/>
      </w:rPr>
    </w:pPr>
    <w:r w:rsidRPr="003D46F7">
      <w:rPr>
        <w:rFonts w:ascii="Tahoma" w:hAnsi="Tahoma"/>
        <w:b/>
      </w:rPr>
      <w:t>OIL CASUALTY INSURANCE, LTD</w:t>
    </w:r>
  </w:p>
  <w:p w:rsidR="00396A52" w:rsidRPr="001B4D06" w:rsidRDefault="00396A52" w:rsidP="00565A86"/>
  <w:p w:rsidR="00396A52" w:rsidRDefault="00396A52" w:rsidP="00565A86">
    <w:pPr>
      <w:pStyle w:val="Subtitle"/>
      <w:jc w:val="center"/>
      <w:rPr>
        <w:rFonts w:ascii="Tahoma" w:hAnsi="Tahoma" w:cs="Tahoma"/>
      </w:rPr>
    </w:pPr>
    <w:r w:rsidRPr="00791B0E">
      <w:rPr>
        <w:rFonts w:ascii="Tahoma" w:hAnsi="Tahoma" w:cs="Tahoma"/>
      </w:rPr>
      <w:t>Joint Audit Committee Charter</w:t>
    </w:r>
  </w:p>
  <w:p w:rsidR="00396A52" w:rsidRPr="00791B0E" w:rsidRDefault="00396A52" w:rsidP="00565A86">
    <w:pPr>
      <w:pStyle w:val="Subtitle"/>
      <w:jc w:val="right"/>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714AB12"/>
    <w:lvl w:ilvl="0">
      <w:start w:val="1"/>
      <w:numFmt w:val="lowerLetter"/>
      <w:pStyle w:val="ListNumber"/>
      <w:lvlText w:val="%1."/>
      <w:lvlJc w:val="left"/>
      <w:pPr>
        <w:tabs>
          <w:tab w:val="num" w:pos="1440"/>
        </w:tabs>
        <w:ind w:left="1440" w:hanging="720"/>
      </w:pPr>
      <w:rPr>
        <w:rFonts w:hint="default"/>
      </w:rPr>
    </w:lvl>
  </w:abstractNum>
  <w:abstractNum w:abstractNumId="1" w15:restartNumberingAfterBreak="0">
    <w:nsid w:val="123C33BE"/>
    <w:multiLevelType w:val="hybridMultilevel"/>
    <w:tmpl w:val="7CAEB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656B72"/>
    <w:multiLevelType w:val="hybridMultilevel"/>
    <w:tmpl w:val="8C88D3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6C26AE4"/>
    <w:multiLevelType w:val="multilevel"/>
    <w:tmpl w:val="15C8DA0E"/>
    <w:lvl w:ilvl="0">
      <w:start w:val="1"/>
      <w:numFmt w:val="upperRoman"/>
      <w:pStyle w:val="Heading1"/>
      <w:lvlText w:val="%1."/>
      <w:lvlJc w:val="left"/>
      <w:pPr>
        <w:tabs>
          <w:tab w:val="num" w:pos="0"/>
        </w:tabs>
        <w:ind w:left="360" w:hanging="360"/>
      </w:pPr>
      <w:rPr>
        <w:rFonts w:ascii="9999999" w:hAnsi="9999999" w:hint="default"/>
        <w:b w:val="0"/>
        <w:i w:val="0"/>
        <w: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upperLetter"/>
      <w:pStyle w:val="Heading2"/>
      <w:lvlText w:val="%2."/>
      <w:lvlJc w:val="left"/>
      <w:pPr>
        <w:tabs>
          <w:tab w:val="num" w:pos="0"/>
        </w:tabs>
        <w:ind w:left="360" w:hanging="360"/>
      </w:pPr>
      <w:rPr>
        <w:rFonts w:ascii="9999999" w:hAnsi="9999999" w:hint="default"/>
        <w:b w:val="0"/>
        <w:i w:val="0"/>
        <w: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Heading3"/>
      <w:lvlText w:val="%3."/>
      <w:lvlJc w:val="left"/>
      <w:pPr>
        <w:tabs>
          <w:tab w:val="num" w:pos="0"/>
        </w:tabs>
        <w:ind w:left="720" w:hanging="360"/>
      </w:pPr>
      <w:rPr>
        <w:rFonts w:ascii="Arial" w:hAnsi="Arial" w:cs="Arial" w:hint="default"/>
        <w:b w:val="0"/>
        <w:i w:val="0"/>
        <w: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pStyle w:val="Heading4"/>
      <w:lvlText w:val="%4"/>
      <w:lvlJc w:val="left"/>
      <w:pPr>
        <w:tabs>
          <w:tab w:val="num" w:pos="0"/>
        </w:tabs>
        <w:ind w:left="1080" w:hanging="360"/>
      </w:pPr>
      <w:rPr>
        <w:rFonts w:hint="default"/>
        <w:b w:val="0"/>
        <w:i w:val="0"/>
        <w: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bullet"/>
      <w:pStyle w:val="Heading5"/>
      <w:lvlText w:val="•"/>
      <w:lvlJc w:val="left"/>
      <w:pPr>
        <w:tabs>
          <w:tab w:val="num" w:pos="0"/>
        </w:tabs>
        <w:ind w:left="1080" w:hanging="360"/>
      </w:pPr>
      <w:rPr>
        <w:rFonts w:ascii="Times New Roman" w:hAnsi="Times New Roman" w:cs="Times New Roman" w:hint="default"/>
        <w:b w:val="0"/>
        <w:i w:val="0"/>
        <w: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none"/>
      <w:pStyle w:val="Heading6"/>
      <w:suff w:val="nothing"/>
      <w:lvlText w:val=""/>
      <w:lvlJc w:val="left"/>
      <w:pPr>
        <w:ind w:left="0" w:firstLine="0"/>
      </w:pPr>
      <w:rPr>
        <w:rFonts w:ascii="9999999" w:hAnsi="9999999" w:hint="default"/>
        <w:b w:val="0"/>
        <w:i w:val="0"/>
        <w: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pStyle w:val="Heading7"/>
      <w:suff w:val="nothing"/>
      <w:lvlText w:val=""/>
      <w:lvlJc w:val="left"/>
      <w:pPr>
        <w:ind w:left="0" w:firstLine="0"/>
      </w:pPr>
      <w:rPr>
        <w:rFonts w:ascii="9999999" w:hAnsi="9999999" w:hint="default"/>
        <w:b w:val="0"/>
        <w:i w:val="0"/>
        <w: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pStyle w:val="Heading8"/>
      <w:suff w:val="nothing"/>
      <w:lvlText w:val=""/>
      <w:lvlJc w:val="left"/>
      <w:pPr>
        <w:ind w:left="0" w:firstLine="0"/>
      </w:pPr>
      <w:rPr>
        <w:rFonts w:ascii="9999999" w:hAnsi="9999999" w:hint="default"/>
        <w:b w:val="0"/>
        <w:i w:val="0"/>
        <w: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pStyle w:val="Heading9"/>
      <w:suff w:val="nothing"/>
      <w:lvlText w:val=""/>
      <w:lvlJc w:val="left"/>
      <w:pPr>
        <w:ind w:left="0" w:firstLine="0"/>
      </w:pPr>
      <w:rPr>
        <w:rFonts w:ascii="9999999" w:hAnsi="9999999" w:hint="default"/>
        <w:b w:val="0"/>
        <w:i w:val="0"/>
        <w: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927"/>
    <w:rsid w:val="00000418"/>
    <w:rsid w:val="00010CF8"/>
    <w:rsid w:val="00030CD8"/>
    <w:rsid w:val="000522B4"/>
    <w:rsid w:val="00062EEE"/>
    <w:rsid w:val="000973CF"/>
    <w:rsid w:val="000C0033"/>
    <w:rsid w:val="000D320A"/>
    <w:rsid w:val="0015750A"/>
    <w:rsid w:val="0017452C"/>
    <w:rsid w:val="00174F79"/>
    <w:rsid w:val="00185A93"/>
    <w:rsid w:val="00190F06"/>
    <w:rsid w:val="001A7316"/>
    <w:rsid w:val="001A739D"/>
    <w:rsid w:val="001F3555"/>
    <w:rsid w:val="002270EF"/>
    <w:rsid w:val="00253643"/>
    <w:rsid w:val="0026601A"/>
    <w:rsid w:val="00297799"/>
    <w:rsid w:val="002B07FE"/>
    <w:rsid w:val="002B57B7"/>
    <w:rsid w:val="002C2595"/>
    <w:rsid w:val="00315523"/>
    <w:rsid w:val="0031743B"/>
    <w:rsid w:val="00334637"/>
    <w:rsid w:val="00354907"/>
    <w:rsid w:val="00357F1F"/>
    <w:rsid w:val="0037377F"/>
    <w:rsid w:val="00376839"/>
    <w:rsid w:val="00396A52"/>
    <w:rsid w:val="003E2A3C"/>
    <w:rsid w:val="003E5B67"/>
    <w:rsid w:val="00410C88"/>
    <w:rsid w:val="004111E4"/>
    <w:rsid w:val="0041321D"/>
    <w:rsid w:val="00416D10"/>
    <w:rsid w:val="00421924"/>
    <w:rsid w:val="00430AE8"/>
    <w:rsid w:val="00430C55"/>
    <w:rsid w:val="00432E2D"/>
    <w:rsid w:val="004348F3"/>
    <w:rsid w:val="00434DBF"/>
    <w:rsid w:val="00446D75"/>
    <w:rsid w:val="00470AD0"/>
    <w:rsid w:val="004A08E8"/>
    <w:rsid w:val="004A122B"/>
    <w:rsid w:val="004A4DE4"/>
    <w:rsid w:val="004B46B7"/>
    <w:rsid w:val="00500531"/>
    <w:rsid w:val="00521C2C"/>
    <w:rsid w:val="00526040"/>
    <w:rsid w:val="00526E38"/>
    <w:rsid w:val="00532F28"/>
    <w:rsid w:val="00565A86"/>
    <w:rsid w:val="005A3DFE"/>
    <w:rsid w:val="005D02CC"/>
    <w:rsid w:val="005D3570"/>
    <w:rsid w:val="005D6520"/>
    <w:rsid w:val="005F3BF1"/>
    <w:rsid w:val="005F4738"/>
    <w:rsid w:val="00604721"/>
    <w:rsid w:val="00631927"/>
    <w:rsid w:val="0067583E"/>
    <w:rsid w:val="006966C9"/>
    <w:rsid w:val="006C350A"/>
    <w:rsid w:val="006D61D4"/>
    <w:rsid w:val="006F084D"/>
    <w:rsid w:val="006F1E12"/>
    <w:rsid w:val="00741CC0"/>
    <w:rsid w:val="00752284"/>
    <w:rsid w:val="00754AE5"/>
    <w:rsid w:val="007612A7"/>
    <w:rsid w:val="00792B0F"/>
    <w:rsid w:val="007B1B32"/>
    <w:rsid w:val="007B3153"/>
    <w:rsid w:val="007D7D51"/>
    <w:rsid w:val="007E46A0"/>
    <w:rsid w:val="008107A2"/>
    <w:rsid w:val="00831470"/>
    <w:rsid w:val="00846EC1"/>
    <w:rsid w:val="00865C4D"/>
    <w:rsid w:val="00870AAA"/>
    <w:rsid w:val="00884295"/>
    <w:rsid w:val="00893A95"/>
    <w:rsid w:val="008A180A"/>
    <w:rsid w:val="008B5AD2"/>
    <w:rsid w:val="008C2D67"/>
    <w:rsid w:val="008F2A60"/>
    <w:rsid w:val="009210D4"/>
    <w:rsid w:val="00922B8F"/>
    <w:rsid w:val="00941579"/>
    <w:rsid w:val="009514CD"/>
    <w:rsid w:val="00964A11"/>
    <w:rsid w:val="00975E0C"/>
    <w:rsid w:val="00981E14"/>
    <w:rsid w:val="00992B1C"/>
    <w:rsid w:val="009979A3"/>
    <w:rsid w:val="009A760D"/>
    <w:rsid w:val="009B5A09"/>
    <w:rsid w:val="009C3C34"/>
    <w:rsid w:val="009E2B43"/>
    <w:rsid w:val="009F266E"/>
    <w:rsid w:val="00A06B1D"/>
    <w:rsid w:val="00A10046"/>
    <w:rsid w:val="00A342EC"/>
    <w:rsid w:val="00A41DD8"/>
    <w:rsid w:val="00A60C05"/>
    <w:rsid w:val="00A613E5"/>
    <w:rsid w:val="00A8777F"/>
    <w:rsid w:val="00AB5810"/>
    <w:rsid w:val="00AC4D2D"/>
    <w:rsid w:val="00AF48C4"/>
    <w:rsid w:val="00B04154"/>
    <w:rsid w:val="00B06472"/>
    <w:rsid w:val="00B07B53"/>
    <w:rsid w:val="00B1485C"/>
    <w:rsid w:val="00B200AE"/>
    <w:rsid w:val="00B240A3"/>
    <w:rsid w:val="00B678C1"/>
    <w:rsid w:val="00BA70CD"/>
    <w:rsid w:val="00BD5993"/>
    <w:rsid w:val="00BE0670"/>
    <w:rsid w:val="00C13889"/>
    <w:rsid w:val="00C17CE0"/>
    <w:rsid w:val="00C44418"/>
    <w:rsid w:val="00C51C4D"/>
    <w:rsid w:val="00C67BF6"/>
    <w:rsid w:val="00C71F76"/>
    <w:rsid w:val="00C75F89"/>
    <w:rsid w:val="00C96926"/>
    <w:rsid w:val="00CA75DC"/>
    <w:rsid w:val="00CB1261"/>
    <w:rsid w:val="00CC05B7"/>
    <w:rsid w:val="00CE49E5"/>
    <w:rsid w:val="00CF02AF"/>
    <w:rsid w:val="00CF5A33"/>
    <w:rsid w:val="00D021B4"/>
    <w:rsid w:val="00D174B6"/>
    <w:rsid w:val="00D43DDB"/>
    <w:rsid w:val="00D743BE"/>
    <w:rsid w:val="00D7654A"/>
    <w:rsid w:val="00DC242F"/>
    <w:rsid w:val="00DE72A9"/>
    <w:rsid w:val="00E03234"/>
    <w:rsid w:val="00E25B8F"/>
    <w:rsid w:val="00E30166"/>
    <w:rsid w:val="00E41184"/>
    <w:rsid w:val="00E45C0D"/>
    <w:rsid w:val="00E45F76"/>
    <w:rsid w:val="00E462DD"/>
    <w:rsid w:val="00E64DB3"/>
    <w:rsid w:val="00E72EE5"/>
    <w:rsid w:val="00E81BD9"/>
    <w:rsid w:val="00E84957"/>
    <w:rsid w:val="00E92800"/>
    <w:rsid w:val="00EE591E"/>
    <w:rsid w:val="00F11963"/>
    <w:rsid w:val="00F11984"/>
    <w:rsid w:val="00F20BA5"/>
    <w:rsid w:val="00F276FD"/>
    <w:rsid w:val="00F35AB4"/>
    <w:rsid w:val="00F5563A"/>
    <w:rsid w:val="00F628BA"/>
    <w:rsid w:val="00F63A95"/>
    <w:rsid w:val="00F7499C"/>
    <w:rsid w:val="00F95A41"/>
    <w:rsid w:val="00FA2C88"/>
    <w:rsid w:val="00FA44C2"/>
    <w:rsid w:val="00FD0819"/>
    <w:rsid w:val="00FE3CF1"/>
    <w:rsid w:val="00FF0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7E6314-255F-47C4-ABFB-93968BEA3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927"/>
    <w:rPr>
      <w:rFonts w:ascii="Times New Roman" w:eastAsia="Times New Roman" w:hAnsi="Times New Roman"/>
      <w:sz w:val="24"/>
      <w:szCs w:val="24"/>
    </w:rPr>
  </w:style>
  <w:style w:type="paragraph" w:styleId="Heading1">
    <w:name w:val="heading 1"/>
    <w:basedOn w:val="Normal"/>
    <w:next w:val="BodyText"/>
    <w:link w:val="Heading1Char"/>
    <w:qFormat/>
    <w:rsid w:val="00631927"/>
    <w:pPr>
      <w:numPr>
        <w:numId w:val="2"/>
      </w:numPr>
      <w:spacing w:after="240"/>
      <w:outlineLvl w:val="0"/>
    </w:pPr>
    <w:rPr>
      <w:bCs/>
      <w:szCs w:val="32"/>
    </w:rPr>
  </w:style>
  <w:style w:type="paragraph" w:styleId="Heading2">
    <w:name w:val="heading 2"/>
    <w:basedOn w:val="Normal"/>
    <w:next w:val="BodyText"/>
    <w:link w:val="Heading2Char"/>
    <w:qFormat/>
    <w:rsid w:val="00631927"/>
    <w:pPr>
      <w:numPr>
        <w:ilvl w:val="1"/>
        <w:numId w:val="2"/>
      </w:numPr>
      <w:spacing w:after="240"/>
      <w:outlineLvl w:val="1"/>
    </w:pPr>
    <w:rPr>
      <w:bCs/>
      <w:iCs/>
      <w:szCs w:val="28"/>
    </w:rPr>
  </w:style>
  <w:style w:type="paragraph" w:styleId="Heading3">
    <w:name w:val="heading 3"/>
    <w:basedOn w:val="Normal"/>
    <w:next w:val="BodyText"/>
    <w:link w:val="Heading3Char"/>
    <w:qFormat/>
    <w:rsid w:val="00631927"/>
    <w:pPr>
      <w:numPr>
        <w:ilvl w:val="2"/>
        <w:numId w:val="2"/>
      </w:numPr>
      <w:spacing w:after="240"/>
      <w:outlineLvl w:val="2"/>
    </w:pPr>
    <w:rPr>
      <w:bCs/>
      <w:szCs w:val="26"/>
    </w:rPr>
  </w:style>
  <w:style w:type="paragraph" w:styleId="Heading4">
    <w:name w:val="heading 4"/>
    <w:basedOn w:val="Normal"/>
    <w:next w:val="BodyText"/>
    <w:link w:val="Heading4Char"/>
    <w:qFormat/>
    <w:rsid w:val="00631927"/>
    <w:pPr>
      <w:numPr>
        <w:ilvl w:val="3"/>
        <w:numId w:val="2"/>
      </w:numPr>
      <w:spacing w:after="240"/>
      <w:outlineLvl w:val="3"/>
    </w:pPr>
    <w:rPr>
      <w:bCs/>
      <w:szCs w:val="28"/>
    </w:rPr>
  </w:style>
  <w:style w:type="paragraph" w:styleId="Heading5">
    <w:name w:val="heading 5"/>
    <w:basedOn w:val="Normal"/>
    <w:next w:val="BodyText"/>
    <w:link w:val="Heading5Char"/>
    <w:qFormat/>
    <w:rsid w:val="00631927"/>
    <w:pPr>
      <w:numPr>
        <w:ilvl w:val="4"/>
        <w:numId w:val="2"/>
      </w:numPr>
      <w:spacing w:after="240"/>
      <w:outlineLvl w:val="4"/>
    </w:pPr>
    <w:rPr>
      <w:bCs/>
      <w:iCs/>
      <w:sz w:val="26"/>
      <w:szCs w:val="26"/>
    </w:rPr>
  </w:style>
  <w:style w:type="paragraph" w:styleId="Heading6">
    <w:name w:val="heading 6"/>
    <w:basedOn w:val="Normal"/>
    <w:next w:val="BodyText"/>
    <w:link w:val="Heading6Char"/>
    <w:qFormat/>
    <w:rsid w:val="00631927"/>
    <w:pPr>
      <w:numPr>
        <w:ilvl w:val="5"/>
        <w:numId w:val="2"/>
      </w:numPr>
      <w:spacing w:before="240" w:after="60"/>
      <w:outlineLvl w:val="5"/>
    </w:pPr>
    <w:rPr>
      <w:b/>
      <w:bCs/>
      <w:sz w:val="22"/>
      <w:szCs w:val="22"/>
    </w:rPr>
  </w:style>
  <w:style w:type="paragraph" w:styleId="Heading7">
    <w:name w:val="heading 7"/>
    <w:basedOn w:val="Normal"/>
    <w:next w:val="BodyText"/>
    <w:link w:val="Heading7Char"/>
    <w:qFormat/>
    <w:rsid w:val="00631927"/>
    <w:pPr>
      <w:numPr>
        <w:ilvl w:val="6"/>
        <w:numId w:val="2"/>
      </w:numPr>
      <w:spacing w:before="240" w:after="60"/>
      <w:outlineLvl w:val="6"/>
    </w:pPr>
  </w:style>
  <w:style w:type="paragraph" w:styleId="Heading8">
    <w:name w:val="heading 8"/>
    <w:basedOn w:val="Normal"/>
    <w:next w:val="BodyText"/>
    <w:link w:val="Heading8Char"/>
    <w:qFormat/>
    <w:rsid w:val="00631927"/>
    <w:pPr>
      <w:numPr>
        <w:ilvl w:val="7"/>
        <w:numId w:val="2"/>
      </w:numPr>
      <w:spacing w:before="240" w:after="60"/>
      <w:outlineLvl w:val="7"/>
    </w:pPr>
    <w:rPr>
      <w:i/>
      <w:iCs/>
    </w:rPr>
  </w:style>
  <w:style w:type="paragraph" w:styleId="Heading9">
    <w:name w:val="heading 9"/>
    <w:basedOn w:val="Normal"/>
    <w:next w:val="BodyText"/>
    <w:link w:val="Heading9Char"/>
    <w:qFormat/>
    <w:rsid w:val="00631927"/>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31927"/>
    <w:rPr>
      <w:rFonts w:ascii="Times New Roman" w:eastAsia="Times New Roman" w:hAnsi="Times New Roman" w:cs="Times New Roman"/>
      <w:bCs/>
      <w:sz w:val="24"/>
      <w:szCs w:val="32"/>
    </w:rPr>
  </w:style>
  <w:style w:type="character" w:customStyle="1" w:styleId="Heading2Char">
    <w:name w:val="Heading 2 Char"/>
    <w:link w:val="Heading2"/>
    <w:rsid w:val="00631927"/>
    <w:rPr>
      <w:rFonts w:ascii="Times New Roman" w:eastAsia="Times New Roman" w:hAnsi="Times New Roman" w:cs="Times New Roman"/>
      <w:bCs/>
      <w:iCs/>
      <w:sz w:val="24"/>
      <w:szCs w:val="28"/>
    </w:rPr>
  </w:style>
  <w:style w:type="character" w:customStyle="1" w:styleId="Heading3Char">
    <w:name w:val="Heading 3 Char"/>
    <w:link w:val="Heading3"/>
    <w:rsid w:val="00631927"/>
    <w:rPr>
      <w:rFonts w:ascii="Times New Roman" w:eastAsia="Times New Roman" w:hAnsi="Times New Roman" w:cs="Times New Roman"/>
      <w:bCs/>
      <w:sz w:val="24"/>
      <w:szCs w:val="26"/>
    </w:rPr>
  </w:style>
  <w:style w:type="character" w:customStyle="1" w:styleId="Heading4Char">
    <w:name w:val="Heading 4 Char"/>
    <w:link w:val="Heading4"/>
    <w:rsid w:val="00631927"/>
    <w:rPr>
      <w:rFonts w:ascii="Times New Roman" w:eastAsia="Times New Roman" w:hAnsi="Times New Roman" w:cs="Times New Roman"/>
      <w:bCs/>
      <w:sz w:val="24"/>
      <w:szCs w:val="28"/>
    </w:rPr>
  </w:style>
  <w:style w:type="character" w:customStyle="1" w:styleId="Heading5Char">
    <w:name w:val="Heading 5 Char"/>
    <w:link w:val="Heading5"/>
    <w:rsid w:val="00631927"/>
    <w:rPr>
      <w:rFonts w:ascii="Times New Roman" w:eastAsia="Times New Roman" w:hAnsi="Times New Roman" w:cs="Times New Roman"/>
      <w:bCs/>
      <w:iCs/>
      <w:sz w:val="26"/>
      <w:szCs w:val="26"/>
    </w:rPr>
  </w:style>
  <w:style w:type="character" w:customStyle="1" w:styleId="Heading6Char">
    <w:name w:val="Heading 6 Char"/>
    <w:link w:val="Heading6"/>
    <w:rsid w:val="00631927"/>
    <w:rPr>
      <w:rFonts w:ascii="Times New Roman" w:eastAsia="Times New Roman" w:hAnsi="Times New Roman" w:cs="Times New Roman"/>
      <w:b/>
      <w:bCs/>
    </w:rPr>
  </w:style>
  <w:style w:type="character" w:customStyle="1" w:styleId="Heading7Char">
    <w:name w:val="Heading 7 Char"/>
    <w:link w:val="Heading7"/>
    <w:rsid w:val="00631927"/>
    <w:rPr>
      <w:rFonts w:ascii="Times New Roman" w:eastAsia="Times New Roman" w:hAnsi="Times New Roman" w:cs="Times New Roman"/>
      <w:sz w:val="24"/>
      <w:szCs w:val="24"/>
    </w:rPr>
  </w:style>
  <w:style w:type="character" w:customStyle="1" w:styleId="Heading8Char">
    <w:name w:val="Heading 8 Char"/>
    <w:link w:val="Heading8"/>
    <w:rsid w:val="00631927"/>
    <w:rPr>
      <w:rFonts w:ascii="Times New Roman" w:eastAsia="Times New Roman" w:hAnsi="Times New Roman" w:cs="Times New Roman"/>
      <w:i/>
      <w:iCs/>
      <w:sz w:val="24"/>
      <w:szCs w:val="24"/>
    </w:rPr>
  </w:style>
  <w:style w:type="character" w:customStyle="1" w:styleId="Heading9Char">
    <w:name w:val="Heading 9 Char"/>
    <w:link w:val="Heading9"/>
    <w:rsid w:val="00631927"/>
    <w:rPr>
      <w:rFonts w:ascii="Arial" w:eastAsia="Times New Roman" w:hAnsi="Arial" w:cs="Arial"/>
    </w:rPr>
  </w:style>
  <w:style w:type="paragraph" w:styleId="BodyText">
    <w:name w:val="Body Text"/>
    <w:aliases w:val="b"/>
    <w:basedOn w:val="Normal"/>
    <w:link w:val="BodyTextChar"/>
    <w:rsid w:val="00631927"/>
    <w:pPr>
      <w:spacing w:after="240"/>
    </w:pPr>
  </w:style>
  <w:style w:type="character" w:customStyle="1" w:styleId="BodyTextChar">
    <w:name w:val="Body Text Char"/>
    <w:aliases w:val="b Char"/>
    <w:link w:val="BodyText"/>
    <w:rsid w:val="00631927"/>
    <w:rPr>
      <w:rFonts w:ascii="Times New Roman" w:eastAsia="Times New Roman" w:hAnsi="Times New Roman" w:cs="Times New Roman"/>
      <w:sz w:val="24"/>
      <w:szCs w:val="24"/>
    </w:rPr>
  </w:style>
  <w:style w:type="paragraph" w:styleId="Footer">
    <w:name w:val="footer"/>
    <w:basedOn w:val="Normal"/>
    <w:link w:val="FooterChar"/>
    <w:rsid w:val="00631927"/>
    <w:pPr>
      <w:tabs>
        <w:tab w:val="center" w:pos="4680"/>
        <w:tab w:val="center" w:pos="9360"/>
      </w:tabs>
    </w:pPr>
    <w:rPr>
      <w:sz w:val="22"/>
    </w:rPr>
  </w:style>
  <w:style w:type="character" w:customStyle="1" w:styleId="FooterChar">
    <w:name w:val="Footer Char"/>
    <w:link w:val="Footer"/>
    <w:rsid w:val="00631927"/>
    <w:rPr>
      <w:rFonts w:ascii="Times New Roman" w:eastAsia="Times New Roman" w:hAnsi="Times New Roman" w:cs="Times New Roman"/>
      <w:szCs w:val="24"/>
    </w:rPr>
  </w:style>
  <w:style w:type="paragraph" w:styleId="ListNumber">
    <w:name w:val="List Number"/>
    <w:basedOn w:val="Normal"/>
    <w:rsid w:val="00631927"/>
    <w:pPr>
      <w:numPr>
        <w:numId w:val="1"/>
      </w:numPr>
      <w:spacing w:after="240"/>
    </w:pPr>
  </w:style>
  <w:style w:type="character" w:styleId="PageNumber">
    <w:name w:val="page number"/>
    <w:rsid w:val="00631927"/>
    <w:rPr>
      <w:sz w:val="24"/>
    </w:rPr>
  </w:style>
  <w:style w:type="paragraph" w:styleId="Subtitle">
    <w:name w:val="Subtitle"/>
    <w:aliases w:val="st"/>
    <w:basedOn w:val="Normal"/>
    <w:link w:val="SubtitleChar"/>
    <w:qFormat/>
    <w:rsid w:val="00631927"/>
    <w:pPr>
      <w:keepNext/>
      <w:spacing w:after="240"/>
    </w:pPr>
    <w:rPr>
      <w:rFonts w:cs="Arial"/>
      <w:b/>
    </w:rPr>
  </w:style>
  <w:style w:type="character" w:customStyle="1" w:styleId="SubtitleChar">
    <w:name w:val="Subtitle Char"/>
    <w:aliases w:val="st Char"/>
    <w:link w:val="Subtitle"/>
    <w:rsid w:val="00631927"/>
    <w:rPr>
      <w:rFonts w:ascii="Times New Roman" w:eastAsia="Times New Roman" w:hAnsi="Times New Roman" w:cs="Arial"/>
      <w:b/>
      <w:sz w:val="24"/>
      <w:szCs w:val="24"/>
    </w:rPr>
  </w:style>
  <w:style w:type="paragraph" w:styleId="Header">
    <w:name w:val="header"/>
    <w:basedOn w:val="Normal"/>
    <w:link w:val="HeaderChar"/>
    <w:uiPriority w:val="99"/>
    <w:unhideWhenUsed/>
    <w:rsid w:val="00631927"/>
    <w:pPr>
      <w:tabs>
        <w:tab w:val="center" w:pos="4680"/>
        <w:tab w:val="right" w:pos="9360"/>
      </w:tabs>
    </w:pPr>
  </w:style>
  <w:style w:type="character" w:customStyle="1" w:styleId="HeaderChar">
    <w:name w:val="Header Char"/>
    <w:link w:val="Header"/>
    <w:uiPriority w:val="99"/>
    <w:rsid w:val="0063192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1927"/>
    <w:rPr>
      <w:rFonts w:ascii="Tahoma" w:hAnsi="Tahoma" w:cs="Tahoma"/>
      <w:sz w:val="16"/>
      <w:szCs w:val="16"/>
    </w:rPr>
  </w:style>
  <w:style w:type="character" w:customStyle="1" w:styleId="BalloonTextChar">
    <w:name w:val="Balloon Text Char"/>
    <w:link w:val="BalloonText"/>
    <w:uiPriority w:val="99"/>
    <w:semiHidden/>
    <w:rsid w:val="00631927"/>
    <w:rPr>
      <w:rFonts w:ascii="Tahoma" w:eastAsia="Times New Roman" w:hAnsi="Tahoma" w:cs="Tahoma"/>
      <w:sz w:val="16"/>
      <w:szCs w:val="16"/>
    </w:rPr>
  </w:style>
  <w:style w:type="character" w:styleId="CommentReference">
    <w:name w:val="annotation reference"/>
    <w:uiPriority w:val="99"/>
    <w:semiHidden/>
    <w:unhideWhenUsed/>
    <w:rsid w:val="00010CF8"/>
    <w:rPr>
      <w:sz w:val="16"/>
      <w:szCs w:val="16"/>
    </w:rPr>
  </w:style>
  <w:style w:type="paragraph" w:styleId="CommentText">
    <w:name w:val="annotation text"/>
    <w:basedOn w:val="Normal"/>
    <w:link w:val="CommentTextChar"/>
    <w:uiPriority w:val="99"/>
    <w:semiHidden/>
    <w:unhideWhenUsed/>
    <w:rsid w:val="00010CF8"/>
    <w:rPr>
      <w:sz w:val="20"/>
      <w:szCs w:val="20"/>
    </w:rPr>
  </w:style>
  <w:style w:type="character" w:customStyle="1" w:styleId="CommentTextChar">
    <w:name w:val="Comment Text Char"/>
    <w:link w:val="CommentText"/>
    <w:uiPriority w:val="99"/>
    <w:semiHidden/>
    <w:rsid w:val="00010CF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10CF8"/>
    <w:rPr>
      <w:b/>
      <w:bCs/>
    </w:rPr>
  </w:style>
  <w:style w:type="character" w:customStyle="1" w:styleId="CommentSubjectChar">
    <w:name w:val="Comment Subject Char"/>
    <w:link w:val="CommentSubject"/>
    <w:uiPriority w:val="99"/>
    <w:semiHidden/>
    <w:rsid w:val="00010CF8"/>
    <w:rPr>
      <w:rFonts w:ascii="Times New Roman" w:eastAsia="Times New Roman" w:hAnsi="Times New Roman"/>
      <w:b/>
      <w:bCs/>
    </w:rPr>
  </w:style>
  <w:style w:type="paragraph" w:styleId="Revision">
    <w:name w:val="Revision"/>
    <w:hidden/>
    <w:uiPriority w:val="99"/>
    <w:semiHidden/>
    <w:rsid w:val="00D743B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066480">
      <w:bodyDiv w:val="1"/>
      <w:marLeft w:val="0"/>
      <w:marRight w:val="0"/>
      <w:marTop w:val="0"/>
      <w:marBottom w:val="0"/>
      <w:divBdr>
        <w:top w:val="none" w:sz="0" w:space="0" w:color="auto"/>
        <w:left w:val="none" w:sz="0" w:space="0" w:color="auto"/>
        <w:bottom w:val="none" w:sz="0" w:space="0" w:color="auto"/>
        <w:right w:val="none" w:sz="0" w:space="0" w:color="auto"/>
      </w:divBdr>
    </w:div>
    <w:div w:id="162307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AA62E-5284-4E16-A31E-15A393573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1734</Words>
  <Characters>9887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OMSL</Company>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cp:lastModifiedBy>Ferguson, Deshante</cp:lastModifiedBy>
  <cp:revision>2</cp:revision>
  <cp:lastPrinted>2018-10-31T17:03:00Z</cp:lastPrinted>
  <dcterms:created xsi:type="dcterms:W3CDTF">2020-05-04T12:32:00Z</dcterms:created>
  <dcterms:modified xsi:type="dcterms:W3CDTF">2020-05-04T12:32:00Z</dcterms:modified>
</cp:coreProperties>
</file>