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7723"/>
      </w:tblGrid>
      <w:tr w:rsidR="00B55BDB" w:rsidRPr="00B55BDB" w:rsidTr="00150C8B">
        <w:tc>
          <w:tcPr>
            <w:tcW w:w="1745" w:type="dxa"/>
          </w:tcPr>
          <w:p w:rsidR="00B55BDB" w:rsidRPr="00B55BDB" w:rsidRDefault="00B55BDB" w:rsidP="00B55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BDB">
              <w:rPr>
                <w:rFonts w:ascii="Arial" w:eastAsia="Times New Roman" w:hAnsi="Arial" w:cs="Arial"/>
                <w:sz w:val="20"/>
                <w:szCs w:val="20"/>
              </w:rPr>
              <w:t>I.   Purpose</w:t>
            </w:r>
          </w:p>
        </w:tc>
        <w:tc>
          <w:tcPr>
            <w:tcW w:w="7723" w:type="dxa"/>
          </w:tcPr>
          <w:p w:rsidR="00B55BDB" w:rsidRPr="00B55BDB" w:rsidRDefault="00B55BDB" w:rsidP="00B55BD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B55BDB">
              <w:rPr>
                <w:rFonts w:ascii="Arial" w:eastAsia="Times New Roman" w:hAnsi="Arial" w:cs="Arial"/>
                <w:szCs w:val="24"/>
              </w:rPr>
              <w:t xml:space="preserve">The Corporate Governance and Recruitment Committee (“the Committee”) shall assist the Board of Directors </w:t>
            </w:r>
            <w:r w:rsidR="00AB36E7">
              <w:rPr>
                <w:rFonts w:ascii="Arial" w:eastAsia="Times New Roman" w:hAnsi="Arial" w:cs="Arial"/>
                <w:szCs w:val="24"/>
              </w:rPr>
              <w:t xml:space="preserve">(the “Board”) </w:t>
            </w:r>
            <w:r w:rsidRPr="00B55BDB">
              <w:rPr>
                <w:rFonts w:ascii="Arial" w:eastAsia="Times New Roman" w:hAnsi="Arial" w:cs="Arial"/>
                <w:szCs w:val="24"/>
              </w:rPr>
              <w:t>in carrying out its responsibilities relating to the Corporation</w:t>
            </w:r>
            <w:r>
              <w:rPr>
                <w:rFonts w:ascii="Arial" w:eastAsia="Times New Roman" w:hAnsi="Arial" w:cs="Arial"/>
                <w:szCs w:val="24"/>
              </w:rPr>
              <w:t>’</w:t>
            </w:r>
            <w:r w:rsidRPr="00B55BDB">
              <w:rPr>
                <w:rFonts w:ascii="Arial" w:eastAsia="Times New Roman" w:hAnsi="Arial" w:cs="Arial"/>
                <w:szCs w:val="24"/>
              </w:rPr>
              <w:t>s governance practices by developing and recommending  to the Board a set of corporate governance guidelines, providing oversight of the corporate governance affairs of the Board and Committees of the Compan</w:t>
            </w:r>
            <w:r>
              <w:rPr>
                <w:rFonts w:ascii="Arial" w:eastAsia="Times New Roman" w:hAnsi="Arial" w:cs="Arial"/>
                <w:szCs w:val="24"/>
              </w:rPr>
              <w:t>y</w:t>
            </w:r>
            <w:r w:rsidRPr="00B55BDB">
              <w:rPr>
                <w:rFonts w:ascii="Arial" w:eastAsia="Times New Roman" w:hAnsi="Arial" w:cs="Arial"/>
                <w:szCs w:val="24"/>
              </w:rPr>
              <w:t xml:space="preserve"> and assisting the Board in identifying and recruiting qualified candidates to have their names placed into nomination to serve on the Board.</w:t>
            </w:r>
          </w:p>
          <w:p w:rsidR="00B55BDB" w:rsidRPr="00B55BDB" w:rsidRDefault="00B55BDB" w:rsidP="00B55BD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55BDB" w:rsidRPr="00B55BDB" w:rsidTr="00150C8B">
        <w:tc>
          <w:tcPr>
            <w:tcW w:w="1745" w:type="dxa"/>
          </w:tcPr>
          <w:p w:rsidR="00B55BDB" w:rsidRPr="00B55BDB" w:rsidRDefault="00B55BDB" w:rsidP="00B55BD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B55BDB">
              <w:rPr>
                <w:rFonts w:ascii="Arial" w:eastAsia="Times New Roman" w:hAnsi="Arial" w:cs="Arial"/>
                <w:szCs w:val="24"/>
              </w:rPr>
              <w:t>II.  Structure</w:t>
            </w:r>
          </w:p>
        </w:tc>
        <w:tc>
          <w:tcPr>
            <w:tcW w:w="7723" w:type="dxa"/>
          </w:tcPr>
          <w:p w:rsidR="00B55BDB" w:rsidRPr="00B55BDB" w:rsidRDefault="00B55BDB" w:rsidP="00B55BDB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B55BDB">
              <w:rPr>
                <w:rFonts w:ascii="Arial" w:eastAsia="Times New Roman" w:hAnsi="Arial" w:cs="Times New Roman"/>
                <w:szCs w:val="24"/>
              </w:rPr>
              <w:t>The Committee is a Standing Committee</w:t>
            </w:r>
            <w:r>
              <w:rPr>
                <w:rFonts w:ascii="Arial" w:eastAsia="Times New Roman" w:hAnsi="Arial" w:cs="Times New Roman"/>
                <w:szCs w:val="24"/>
              </w:rPr>
              <w:t>.</w:t>
            </w:r>
            <w:r w:rsidRPr="00B55BDB">
              <w:rPr>
                <w:rFonts w:ascii="Arial" w:eastAsia="Times New Roman" w:hAnsi="Arial" w:cs="Times New Roman"/>
                <w:szCs w:val="24"/>
              </w:rPr>
              <w:t xml:space="preserve">  </w:t>
            </w:r>
          </w:p>
          <w:p w:rsidR="00B55BDB" w:rsidRPr="00B55BDB" w:rsidRDefault="00B55BDB" w:rsidP="00B55BDB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B55BDB">
              <w:rPr>
                <w:rFonts w:ascii="Arial" w:eastAsia="Times New Roman" w:hAnsi="Arial" w:cs="Times New Roman"/>
                <w:szCs w:val="24"/>
              </w:rPr>
              <w:t xml:space="preserve">The Committee shall consist of no less than </w:t>
            </w:r>
            <w:r>
              <w:rPr>
                <w:rFonts w:ascii="Arial" w:eastAsia="Times New Roman" w:hAnsi="Arial" w:cs="Times New Roman"/>
                <w:szCs w:val="24"/>
              </w:rPr>
              <w:t>three</w:t>
            </w:r>
            <w:r w:rsidRPr="00B55BDB">
              <w:rPr>
                <w:rFonts w:ascii="Arial" w:eastAsia="Times New Roman" w:hAnsi="Arial" w:cs="Times New Roman"/>
                <w:szCs w:val="24"/>
              </w:rPr>
              <w:t xml:space="preserve"> and no more than </w:t>
            </w:r>
            <w:r>
              <w:rPr>
                <w:rFonts w:ascii="Arial" w:eastAsia="Times New Roman" w:hAnsi="Arial" w:cs="Times New Roman"/>
                <w:szCs w:val="24"/>
              </w:rPr>
              <w:t>five</w:t>
            </w:r>
            <w:r w:rsidRPr="00B55BDB">
              <w:rPr>
                <w:rFonts w:ascii="Arial" w:eastAsia="Times New Roman" w:hAnsi="Arial" w:cs="Times New Roman"/>
                <w:szCs w:val="24"/>
              </w:rPr>
              <w:t xml:space="preserve"> Directors appointed by the Board.  The Board, in </w:t>
            </w:r>
            <w:r>
              <w:rPr>
                <w:rFonts w:ascii="Arial" w:eastAsia="Times New Roman" w:hAnsi="Arial" w:cs="Times New Roman"/>
                <w:szCs w:val="24"/>
              </w:rPr>
              <w:t>its</w:t>
            </w:r>
            <w:r w:rsidRPr="00B55BDB">
              <w:rPr>
                <w:rFonts w:ascii="Arial" w:eastAsia="Times New Roman" w:hAnsi="Arial" w:cs="Times New Roman"/>
                <w:szCs w:val="24"/>
              </w:rPr>
              <w:t xml:space="preserve"> discretion, may remove </w:t>
            </w:r>
            <w:r>
              <w:rPr>
                <w:rFonts w:ascii="Arial" w:eastAsia="Times New Roman" w:hAnsi="Arial" w:cs="Times New Roman"/>
                <w:szCs w:val="24"/>
              </w:rPr>
              <w:t xml:space="preserve">appointed </w:t>
            </w:r>
            <w:r w:rsidRPr="00B55BDB">
              <w:rPr>
                <w:rFonts w:ascii="Arial" w:eastAsia="Times New Roman" w:hAnsi="Arial" w:cs="Times New Roman"/>
                <w:szCs w:val="24"/>
              </w:rPr>
              <w:t>members</w:t>
            </w:r>
            <w:r>
              <w:rPr>
                <w:rFonts w:ascii="Arial" w:eastAsia="Times New Roman" w:hAnsi="Arial" w:cs="Times New Roman"/>
                <w:szCs w:val="24"/>
              </w:rPr>
              <w:t xml:space="preserve"> of the Committee.</w:t>
            </w:r>
            <w:r w:rsidRPr="00B55BDB">
              <w:rPr>
                <w:rFonts w:ascii="Arial" w:eastAsia="Times New Roman" w:hAnsi="Arial" w:cs="Times New Roman"/>
                <w:szCs w:val="24"/>
              </w:rPr>
              <w:t xml:space="preserve"> The members shall designate the Chairman of the Committee.  </w:t>
            </w:r>
          </w:p>
          <w:p w:rsidR="00B55BDB" w:rsidRPr="00B55BDB" w:rsidRDefault="00B55BDB" w:rsidP="00B55BD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B55BDB" w:rsidRPr="00B55BDB" w:rsidTr="00150C8B">
        <w:tc>
          <w:tcPr>
            <w:tcW w:w="1745" w:type="dxa"/>
          </w:tcPr>
          <w:p w:rsidR="00B55BDB" w:rsidRPr="00B55BDB" w:rsidRDefault="00B55BDB" w:rsidP="00B55BD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B55BDB">
              <w:rPr>
                <w:rFonts w:ascii="Arial" w:eastAsia="Times New Roman" w:hAnsi="Arial" w:cs="Arial"/>
                <w:szCs w:val="24"/>
              </w:rPr>
              <w:t>III. Procedure</w:t>
            </w:r>
          </w:p>
        </w:tc>
        <w:tc>
          <w:tcPr>
            <w:tcW w:w="7723" w:type="dxa"/>
          </w:tcPr>
          <w:p w:rsidR="00B55BDB" w:rsidRPr="00B55BDB" w:rsidRDefault="00B55BDB" w:rsidP="00B55BD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B55BDB">
              <w:rPr>
                <w:rFonts w:ascii="Arial" w:eastAsia="Times New Roman" w:hAnsi="Arial" w:cs="Arial"/>
                <w:szCs w:val="24"/>
              </w:rPr>
              <w:t>The Committee will report to the Board</w:t>
            </w:r>
            <w:r w:rsidR="007A45EC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B55BDB">
              <w:rPr>
                <w:rFonts w:ascii="Arial" w:eastAsia="Times New Roman" w:hAnsi="Arial" w:cs="Arial"/>
                <w:szCs w:val="24"/>
              </w:rPr>
              <w:t>and will meet as often as it determines, but not less than once a year.</w:t>
            </w:r>
          </w:p>
          <w:p w:rsidR="00B55BDB" w:rsidRPr="00B55BDB" w:rsidRDefault="00B55BDB" w:rsidP="00B55BD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B55BDB" w:rsidRPr="00B55BDB" w:rsidRDefault="00B55BDB" w:rsidP="00B55BD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B55BDB">
              <w:rPr>
                <w:rFonts w:ascii="Arial" w:eastAsia="Times New Roman" w:hAnsi="Arial" w:cs="Arial"/>
                <w:szCs w:val="24"/>
              </w:rPr>
              <w:t>The Committee may ask members of management or others to attend Committee meetings and provide pertinent information when needed.</w:t>
            </w:r>
          </w:p>
          <w:p w:rsidR="00B55BDB" w:rsidRPr="00B55BDB" w:rsidRDefault="00B55BDB" w:rsidP="00B55BD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B55BDB" w:rsidRPr="00B55BDB" w:rsidRDefault="00B55BDB" w:rsidP="00B55BD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B55BDB">
              <w:rPr>
                <w:rFonts w:ascii="Arial" w:eastAsia="Times New Roman" w:hAnsi="Arial" w:cs="Arial"/>
                <w:szCs w:val="24"/>
              </w:rPr>
              <w:t>At least half the members of the Committee will constitute a quorum</w:t>
            </w:r>
            <w:r w:rsidR="00C9623F">
              <w:rPr>
                <w:rFonts w:ascii="Arial" w:eastAsia="Times New Roman" w:hAnsi="Arial" w:cs="Arial"/>
                <w:szCs w:val="24"/>
              </w:rPr>
              <w:t>.</w:t>
            </w:r>
            <w:r w:rsidRPr="00B55BDB">
              <w:rPr>
                <w:rFonts w:ascii="Arial" w:eastAsia="Times New Roman" w:hAnsi="Arial" w:cs="Arial"/>
                <w:szCs w:val="24"/>
              </w:rPr>
              <w:t xml:space="preserve"> </w:t>
            </w:r>
          </w:p>
          <w:p w:rsidR="00B55BDB" w:rsidRPr="00B55BDB" w:rsidRDefault="00B55BDB" w:rsidP="00B55BD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B55BDB">
              <w:rPr>
                <w:rFonts w:ascii="Arial" w:eastAsia="Times New Roman" w:hAnsi="Arial" w:cs="Arial"/>
                <w:szCs w:val="24"/>
              </w:rPr>
              <w:t>The Committee may delegate any of its responsibilities to sub-committees, as the Committee may deem appropriate.</w:t>
            </w:r>
          </w:p>
          <w:p w:rsidR="00B55BDB" w:rsidRPr="00B55BDB" w:rsidRDefault="00B55BDB" w:rsidP="00B55BD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B55BDB" w:rsidRPr="00B55BDB" w:rsidRDefault="00B55BDB" w:rsidP="00B55BDB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B55BDB">
        <w:rPr>
          <w:rFonts w:ascii="Arial" w:eastAsia="Times New Roman" w:hAnsi="Arial" w:cs="Times New Roman"/>
          <w:szCs w:val="24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7723"/>
      </w:tblGrid>
      <w:tr w:rsidR="00B55BDB" w:rsidRPr="00B55BDB" w:rsidTr="00150C8B">
        <w:tc>
          <w:tcPr>
            <w:tcW w:w="1745" w:type="dxa"/>
          </w:tcPr>
          <w:p w:rsidR="00B55BDB" w:rsidRPr="00B55BDB" w:rsidRDefault="00B55BDB" w:rsidP="00B55BD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B55BDB">
              <w:rPr>
                <w:rFonts w:ascii="Arial" w:eastAsia="Times New Roman" w:hAnsi="Arial" w:cs="Arial"/>
                <w:szCs w:val="24"/>
              </w:rPr>
              <w:lastRenderedPageBreak/>
              <w:t>IV.  Duties, Responsibilities &amp; Authority</w:t>
            </w:r>
          </w:p>
        </w:tc>
        <w:tc>
          <w:tcPr>
            <w:tcW w:w="7723" w:type="dxa"/>
          </w:tcPr>
          <w:p w:rsidR="00B55BDB" w:rsidRPr="007A45EC" w:rsidRDefault="00B55BDB" w:rsidP="007A45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Cs w:val="24"/>
              </w:rPr>
            </w:pPr>
            <w:r w:rsidRPr="007A45EC">
              <w:rPr>
                <w:rFonts w:ascii="Arial" w:eastAsia="Times New Roman" w:hAnsi="Arial" w:cs="Arial"/>
                <w:szCs w:val="24"/>
              </w:rPr>
              <w:t xml:space="preserve">The Committee has overall responsibility, power and authority to develop and recommend to the Board a set of corporate governance guidelines and will review </w:t>
            </w:r>
            <w:r w:rsidR="00062A5E">
              <w:rPr>
                <w:rFonts w:ascii="Arial" w:eastAsia="Times New Roman" w:hAnsi="Arial" w:cs="Arial"/>
                <w:szCs w:val="24"/>
              </w:rPr>
              <w:t xml:space="preserve">and recommend any changes deemed advisable to the Board </w:t>
            </w:r>
            <w:bookmarkStart w:id="0" w:name="_GoBack"/>
            <w:bookmarkEnd w:id="0"/>
            <w:r w:rsidRPr="007A45EC">
              <w:rPr>
                <w:rFonts w:ascii="Arial" w:eastAsia="Times New Roman" w:hAnsi="Arial" w:cs="Arial"/>
                <w:szCs w:val="24"/>
              </w:rPr>
              <w:t>at least annually.</w:t>
            </w:r>
          </w:p>
          <w:p w:rsidR="00B55BDB" w:rsidRPr="00B55BDB" w:rsidRDefault="00B55BDB" w:rsidP="007A45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B55BDB" w:rsidRPr="007A45EC" w:rsidRDefault="00B55BDB" w:rsidP="007A45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Cs w:val="24"/>
              </w:rPr>
            </w:pPr>
            <w:r w:rsidRPr="007A45EC">
              <w:rPr>
                <w:rFonts w:ascii="Arial" w:eastAsia="Times New Roman" w:hAnsi="Arial" w:cs="Arial"/>
                <w:szCs w:val="24"/>
              </w:rPr>
              <w:t>Review the Board</w:t>
            </w:r>
            <w:r w:rsidR="009A5D08" w:rsidRPr="007A45EC">
              <w:rPr>
                <w:rFonts w:ascii="Arial" w:eastAsia="Times New Roman" w:hAnsi="Arial" w:cs="Arial"/>
                <w:szCs w:val="24"/>
              </w:rPr>
              <w:t>’</w:t>
            </w:r>
            <w:r w:rsidRPr="007A45EC">
              <w:rPr>
                <w:rFonts w:ascii="Arial" w:eastAsia="Times New Roman" w:hAnsi="Arial" w:cs="Arial"/>
                <w:szCs w:val="24"/>
              </w:rPr>
              <w:t>s structure and those of the Committees and recommend to the Boards any changes deemed appropriate.</w:t>
            </w:r>
          </w:p>
          <w:p w:rsidR="009A5D08" w:rsidRPr="00B55BDB" w:rsidRDefault="009A5D08" w:rsidP="007A45E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B55BDB" w:rsidRPr="007A45EC" w:rsidRDefault="00B55BDB" w:rsidP="007A45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Cs w:val="24"/>
              </w:rPr>
            </w:pPr>
            <w:r w:rsidRPr="007A45EC">
              <w:rPr>
                <w:rFonts w:ascii="Arial" w:eastAsia="Times New Roman" w:hAnsi="Arial" w:cs="Arial"/>
                <w:szCs w:val="24"/>
              </w:rPr>
              <w:t>Oversee self-evaluation of the Board and Committees as per the self-evaluation schedule.</w:t>
            </w:r>
          </w:p>
          <w:p w:rsidR="00B55BDB" w:rsidRPr="00B55BDB" w:rsidRDefault="00B55BDB" w:rsidP="007A45E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B55BDB" w:rsidRPr="007A45EC" w:rsidRDefault="00B55BDB" w:rsidP="007A45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Cs w:val="24"/>
              </w:rPr>
            </w:pPr>
            <w:r w:rsidRPr="007A45EC">
              <w:rPr>
                <w:rFonts w:ascii="Arial" w:eastAsia="Times New Roman" w:hAnsi="Arial" w:cs="Arial"/>
                <w:szCs w:val="24"/>
              </w:rPr>
              <w:t>Review and recommend, as appropriate, director orientation and continuing development programs for members of the Board.</w:t>
            </w:r>
          </w:p>
          <w:p w:rsidR="00B55BDB" w:rsidRPr="00B55BDB" w:rsidRDefault="00B55BDB" w:rsidP="007A45E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B55BDB" w:rsidRPr="007A45EC" w:rsidRDefault="00B55BDB" w:rsidP="007A45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Cs w:val="24"/>
              </w:rPr>
            </w:pPr>
            <w:r w:rsidRPr="007A45EC">
              <w:rPr>
                <w:rFonts w:ascii="Arial" w:eastAsia="Times New Roman" w:hAnsi="Arial" w:cs="Arial"/>
                <w:szCs w:val="24"/>
              </w:rPr>
              <w:t>Recommend, review, and document appropriate delegations of authority to the CEO.</w:t>
            </w:r>
          </w:p>
          <w:p w:rsidR="00B55BDB" w:rsidRPr="00B55BDB" w:rsidRDefault="00B55BDB" w:rsidP="007A45E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B55BDB" w:rsidRPr="007A45EC" w:rsidRDefault="00B55BDB" w:rsidP="007A45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Cs w:val="24"/>
              </w:rPr>
            </w:pPr>
            <w:r w:rsidRPr="007A45EC">
              <w:rPr>
                <w:rFonts w:ascii="Arial" w:eastAsia="Times New Roman" w:hAnsi="Arial" w:cs="Arial"/>
                <w:szCs w:val="24"/>
              </w:rPr>
              <w:t>Assist the Board in the recruitment of Directors by:</w:t>
            </w:r>
          </w:p>
          <w:p w:rsidR="00B55BDB" w:rsidRPr="007A45EC" w:rsidRDefault="00B55BDB" w:rsidP="007A4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A45EC">
              <w:rPr>
                <w:rFonts w:ascii="Arial" w:eastAsia="Times New Roman" w:hAnsi="Arial" w:cs="Arial"/>
                <w:szCs w:val="24"/>
              </w:rPr>
              <w:t>Assessing the skills that are appropriate for the Board as a whole to function effectively;</w:t>
            </w:r>
          </w:p>
          <w:p w:rsidR="00B55BDB" w:rsidRPr="007A45EC" w:rsidRDefault="00B55BDB" w:rsidP="007A4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A45EC">
              <w:rPr>
                <w:rFonts w:ascii="Arial" w:eastAsia="Times New Roman" w:hAnsi="Arial" w:cs="Arial"/>
                <w:szCs w:val="24"/>
              </w:rPr>
              <w:t>Identifying skill areas to be considered in recruitment;</w:t>
            </w:r>
          </w:p>
          <w:p w:rsidR="00B55BDB" w:rsidRPr="007A45EC" w:rsidRDefault="00B55BDB" w:rsidP="007A4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A45EC">
              <w:rPr>
                <w:rFonts w:ascii="Arial" w:eastAsia="Times New Roman" w:hAnsi="Arial" w:cs="Arial"/>
                <w:szCs w:val="24"/>
              </w:rPr>
              <w:t>Publishing communications and otherwise publicizing information about the roles and benefits of directorship;</w:t>
            </w:r>
          </w:p>
          <w:p w:rsidR="00B55BDB" w:rsidRPr="007A45EC" w:rsidRDefault="00B55BDB" w:rsidP="007A4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A45EC">
              <w:rPr>
                <w:rFonts w:ascii="Arial" w:eastAsia="Times New Roman" w:hAnsi="Arial" w:cs="Arial"/>
                <w:szCs w:val="24"/>
              </w:rPr>
              <w:t>Other tasks related to recruitment as appropriate</w:t>
            </w:r>
          </w:p>
          <w:p w:rsidR="00B55BDB" w:rsidRPr="007A45EC" w:rsidRDefault="00B55BDB" w:rsidP="007A45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7A45EC">
              <w:rPr>
                <w:rFonts w:ascii="Arial" w:eastAsia="Times New Roman" w:hAnsi="Arial" w:cs="Arial"/>
                <w:szCs w:val="24"/>
              </w:rPr>
              <w:t>The Committee shall not nominate or otherwise endorse any particular candidate for election to the Board.</w:t>
            </w:r>
          </w:p>
          <w:p w:rsidR="00B55BDB" w:rsidRPr="00B55BDB" w:rsidRDefault="00B55BDB" w:rsidP="00B55BD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B55BDB" w:rsidRPr="007A45EC" w:rsidRDefault="00B55BDB" w:rsidP="007A45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Cs w:val="24"/>
              </w:rPr>
            </w:pPr>
            <w:r w:rsidRPr="007A45EC">
              <w:rPr>
                <w:rFonts w:ascii="Arial" w:eastAsia="Times New Roman" w:hAnsi="Arial" w:cs="Arial"/>
                <w:szCs w:val="24"/>
              </w:rPr>
              <w:t xml:space="preserve">The Committee shall review and assess, at least </w:t>
            </w:r>
            <w:r w:rsidR="00D741C7" w:rsidRPr="007A45EC">
              <w:rPr>
                <w:rFonts w:ascii="Arial" w:eastAsia="Times New Roman" w:hAnsi="Arial" w:cs="Arial"/>
                <w:szCs w:val="24"/>
              </w:rPr>
              <w:t>every other year</w:t>
            </w:r>
            <w:r w:rsidRPr="007A45EC">
              <w:rPr>
                <w:rFonts w:ascii="Arial" w:eastAsia="Times New Roman" w:hAnsi="Arial" w:cs="Arial"/>
                <w:szCs w:val="24"/>
              </w:rPr>
              <w:t xml:space="preserve">, </w:t>
            </w:r>
            <w:r w:rsidR="00D741C7" w:rsidRPr="007A45EC">
              <w:rPr>
                <w:rFonts w:ascii="Arial" w:eastAsia="Times New Roman" w:hAnsi="Arial" w:cs="Arial"/>
                <w:szCs w:val="24"/>
              </w:rPr>
              <w:t xml:space="preserve">all </w:t>
            </w:r>
            <w:r w:rsidRPr="007A45EC">
              <w:rPr>
                <w:rFonts w:ascii="Arial" w:eastAsia="Times New Roman" w:hAnsi="Arial" w:cs="Arial"/>
                <w:szCs w:val="24"/>
              </w:rPr>
              <w:t>Committee Charter</w:t>
            </w:r>
            <w:r w:rsidR="00D741C7" w:rsidRPr="007A45EC">
              <w:rPr>
                <w:rFonts w:ascii="Arial" w:eastAsia="Times New Roman" w:hAnsi="Arial" w:cs="Arial"/>
                <w:szCs w:val="24"/>
              </w:rPr>
              <w:t>s</w:t>
            </w:r>
            <w:r w:rsidRPr="007A45EC">
              <w:rPr>
                <w:rFonts w:ascii="Arial" w:eastAsia="Times New Roman" w:hAnsi="Arial" w:cs="Arial"/>
                <w:szCs w:val="24"/>
              </w:rPr>
              <w:t xml:space="preserve"> and submit changes to the Board for approval.</w:t>
            </w:r>
            <w:r w:rsidR="003335D3" w:rsidRPr="007A45EC">
              <w:rPr>
                <w:rFonts w:ascii="Arial" w:eastAsia="Times New Roman" w:hAnsi="Arial" w:cs="Arial"/>
                <w:szCs w:val="24"/>
              </w:rPr>
              <w:t xml:space="preserve">  In the case of a joint committee, this Committee shall coordinate its review with the OIL Governance and Recruitment Committee.</w:t>
            </w:r>
          </w:p>
          <w:p w:rsidR="00B55BDB" w:rsidRPr="00B55BDB" w:rsidRDefault="00B55BDB" w:rsidP="007A45E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B55BDB" w:rsidRPr="007A45EC" w:rsidRDefault="00B55BDB" w:rsidP="007A45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Cs w:val="24"/>
              </w:rPr>
            </w:pPr>
            <w:r w:rsidRPr="007A45EC">
              <w:rPr>
                <w:rFonts w:ascii="Arial" w:eastAsia="Times New Roman" w:hAnsi="Arial" w:cs="Arial"/>
                <w:szCs w:val="24"/>
              </w:rPr>
              <w:t>Have the authority, in its discretion, to retain and terminate any consulting firm to assist in the evaluation of corporate governance.</w:t>
            </w:r>
          </w:p>
          <w:p w:rsidR="00B55BDB" w:rsidRPr="00B55BDB" w:rsidRDefault="00B55BDB" w:rsidP="007A45E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B55BDB" w:rsidRPr="007A45EC" w:rsidRDefault="00B55BDB" w:rsidP="007A45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Cs w:val="24"/>
              </w:rPr>
            </w:pPr>
            <w:r w:rsidRPr="007A45EC">
              <w:rPr>
                <w:rFonts w:ascii="Arial" w:eastAsia="Times New Roman" w:hAnsi="Arial" w:cs="Arial"/>
                <w:szCs w:val="24"/>
              </w:rPr>
              <w:t>Periodically inform the Board on Committee activities and make appropriate recommendations.</w:t>
            </w:r>
          </w:p>
          <w:p w:rsidR="00D741C7" w:rsidRPr="00B55BDB" w:rsidRDefault="00D741C7" w:rsidP="007A45E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B55BDB" w:rsidRPr="007A45EC" w:rsidRDefault="00B55BDB" w:rsidP="007A45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Cs w:val="24"/>
              </w:rPr>
            </w:pPr>
            <w:r w:rsidRPr="007A45EC">
              <w:rPr>
                <w:rFonts w:ascii="Arial" w:eastAsia="Times New Roman" w:hAnsi="Arial" w:cs="Arial"/>
                <w:szCs w:val="24"/>
              </w:rPr>
              <w:t>Perform other functions at the request of the Boards.</w:t>
            </w:r>
          </w:p>
          <w:p w:rsidR="00B55BDB" w:rsidRPr="00B55BDB" w:rsidRDefault="00B55BDB" w:rsidP="00B55BD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B55BDB" w:rsidRPr="00B55BDB" w:rsidRDefault="00B55BDB" w:rsidP="00B55BDB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C76A2" w:rsidRDefault="007C76A2"/>
    <w:sectPr w:rsidR="007C76A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DB" w:rsidRDefault="00B55BDB" w:rsidP="00B55BDB">
      <w:pPr>
        <w:spacing w:after="0" w:line="240" w:lineRule="auto"/>
      </w:pPr>
      <w:r>
        <w:separator/>
      </w:r>
    </w:p>
  </w:endnote>
  <w:endnote w:type="continuationSeparator" w:id="0">
    <w:p w:rsidR="00B55BDB" w:rsidRDefault="00B55BDB" w:rsidP="00B5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56" w:rsidRDefault="0028401B">
    <w:pPr>
      <w:pStyle w:val="Footer"/>
      <w:jc w:val="center"/>
      <w:rPr>
        <w:noProof/>
      </w:rPr>
    </w:pPr>
    <w:r>
      <w:t xml:space="preserve"> </w:t>
    </w:r>
  </w:p>
  <w:p w:rsidR="00D90A56" w:rsidRDefault="00062A5E" w:rsidP="004E0F3A">
    <w:pPr>
      <w:pStyle w:val="Footer"/>
    </w:pPr>
    <w:r>
      <w:rPr>
        <w:noProof/>
      </w:rPr>
      <w:t>March 2019</w:t>
    </w:r>
  </w:p>
  <w:p w:rsidR="00D90A56" w:rsidRDefault="00062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DB" w:rsidRDefault="00B55BDB" w:rsidP="00B55BDB">
      <w:pPr>
        <w:spacing w:after="0" w:line="240" w:lineRule="auto"/>
      </w:pPr>
      <w:r>
        <w:separator/>
      </w:r>
    </w:p>
  </w:footnote>
  <w:footnote w:type="continuationSeparator" w:id="0">
    <w:p w:rsidR="00B55BDB" w:rsidRDefault="00B55BDB" w:rsidP="00B5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56" w:rsidRDefault="0028401B" w:rsidP="00F7757F">
    <w:pPr>
      <w:jc w:val="center"/>
      <w:rPr>
        <w:rFonts w:ascii="Tahoma" w:hAnsi="Tahoma"/>
        <w:b/>
      </w:rPr>
    </w:pPr>
    <w:r>
      <w:rPr>
        <w:rFonts w:ascii="Tahoma" w:hAnsi="Tahoma"/>
        <w:b/>
      </w:rPr>
      <w:t>OIL CASUALTY INSURANCE, LTD</w:t>
    </w:r>
  </w:p>
  <w:p w:rsidR="00D90A56" w:rsidRDefault="00062A5E" w:rsidP="00F7757F">
    <w:pPr>
      <w:jc w:val="center"/>
      <w:rPr>
        <w:rFonts w:ascii="Tahoma" w:hAnsi="Tahoma"/>
        <w:b/>
      </w:rPr>
    </w:pPr>
  </w:p>
  <w:p w:rsidR="00D90A56" w:rsidRPr="003D46F7" w:rsidRDefault="0028401B" w:rsidP="00F57D06">
    <w:pPr>
      <w:jc w:val="center"/>
      <w:rPr>
        <w:rFonts w:ascii="Tahoma" w:hAnsi="Tahoma"/>
        <w:b/>
      </w:rPr>
    </w:pPr>
    <w:r>
      <w:rPr>
        <w:rFonts w:ascii="Tahoma" w:hAnsi="Tahoma"/>
        <w:b/>
      </w:rPr>
      <w:t>Governance and Recruitment Committee Charter</w:t>
    </w:r>
  </w:p>
  <w:p w:rsidR="00D90A56" w:rsidRPr="00EE4AC5" w:rsidRDefault="0028401B" w:rsidP="00EE4AC5">
    <w:pPr>
      <w:pStyle w:val="Header"/>
      <w:jc w:val="right"/>
      <w:rPr>
        <w:rFonts w:ascii="Tahoma" w:hAnsi="Tahoma" w:cs="Tahoma"/>
        <w:b/>
        <w:color w:val="FF0000"/>
      </w:rPr>
    </w:pPr>
    <w:r>
      <w:rPr>
        <w:rFonts w:ascii="Tahoma" w:hAnsi="Tahoma" w:cs="Tahoma"/>
        <w:b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F9D"/>
    <w:multiLevelType w:val="hybridMultilevel"/>
    <w:tmpl w:val="845A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C3502"/>
    <w:multiLevelType w:val="hybridMultilevel"/>
    <w:tmpl w:val="6F98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92452"/>
    <w:multiLevelType w:val="hybridMultilevel"/>
    <w:tmpl w:val="09BE11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466FB"/>
    <w:multiLevelType w:val="hybridMultilevel"/>
    <w:tmpl w:val="B224B64E"/>
    <w:lvl w:ilvl="0" w:tplc="C6E493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74CC8"/>
    <w:multiLevelType w:val="hybridMultilevel"/>
    <w:tmpl w:val="E33297B8"/>
    <w:lvl w:ilvl="0" w:tplc="44E8CE68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DB"/>
    <w:rsid w:val="00062A5E"/>
    <w:rsid w:val="002530A8"/>
    <w:rsid w:val="0028401B"/>
    <w:rsid w:val="003335D3"/>
    <w:rsid w:val="00334E6E"/>
    <w:rsid w:val="003E5EAA"/>
    <w:rsid w:val="00757402"/>
    <w:rsid w:val="007A41B5"/>
    <w:rsid w:val="007A45EC"/>
    <w:rsid w:val="007C76A2"/>
    <w:rsid w:val="008A0D6D"/>
    <w:rsid w:val="009A5D08"/>
    <w:rsid w:val="00AB36E7"/>
    <w:rsid w:val="00B55BDB"/>
    <w:rsid w:val="00C9623F"/>
    <w:rsid w:val="00D1683D"/>
    <w:rsid w:val="00D7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03DE"/>
  <w15:docId w15:val="{705CE4B9-6CC7-49B9-8B39-D8A5B53F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BDB"/>
  </w:style>
  <w:style w:type="paragraph" w:styleId="Footer">
    <w:name w:val="footer"/>
    <w:basedOn w:val="Normal"/>
    <w:link w:val="FooterChar"/>
    <w:uiPriority w:val="99"/>
    <w:unhideWhenUsed/>
    <w:rsid w:val="00B5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BDB"/>
  </w:style>
  <w:style w:type="paragraph" w:styleId="ListParagraph">
    <w:name w:val="List Paragraph"/>
    <w:basedOn w:val="Normal"/>
    <w:uiPriority w:val="34"/>
    <w:qFormat/>
    <w:rsid w:val="007A4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Henke, Ted</dc:creator>
  <cp:lastModifiedBy>Desouza, Andrea P.</cp:lastModifiedBy>
  <cp:revision>3</cp:revision>
  <cp:lastPrinted>2017-02-17T17:19:00Z</cp:lastPrinted>
  <dcterms:created xsi:type="dcterms:W3CDTF">2019-05-06T19:36:00Z</dcterms:created>
  <dcterms:modified xsi:type="dcterms:W3CDTF">2019-05-06T19:38:00Z</dcterms:modified>
</cp:coreProperties>
</file>