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72" w:rsidRDefault="00443472" w:rsidP="00642FF0">
      <w:pPr>
        <w:pStyle w:val="Title"/>
        <w:jc w:val="right"/>
        <w:rPr>
          <w:sz w:val="24"/>
        </w:rPr>
      </w:pPr>
      <w:bookmarkStart w:id="0" w:name="_GoBack"/>
      <w:bookmarkEnd w:id="0"/>
    </w:p>
    <w:p w:rsidR="00443472" w:rsidRDefault="00443472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6214"/>
      </w:tblGrid>
      <w:tr w:rsidR="0044347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443472" w:rsidRDefault="00443472"/>
          <w:p w:rsidR="00443472" w:rsidRDefault="00443472">
            <w:pPr>
              <w:numPr>
                <w:ilvl w:val="0"/>
                <w:numId w:val="6"/>
              </w:numPr>
            </w:pPr>
            <w:r>
              <w:t>Purpose</w:t>
            </w:r>
          </w:p>
        </w:tc>
        <w:tc>
          <w:tcPr>
            <w:tcW w:w="6408" w:type="dxa"/>
          </w:tcPr>
          <w:p w:rsidR="00443472" w:rsidRDefault="00443472">
            <w:pPr>
              <w:pStyle w:val="BodyText3"/>
              <w:rPr>
                <w:szCs w:val="24"/>
              </w:rPr>
            </w:pPr>
          </w:p>
          <w:p w:rsidR="00443472" w:rsidRDefault="00443472">
            <w:pPr>
              <w:pStyle w:val="BodyText3"/>
              <w:rPr>
                <w:szCs w:val="24"/>
              </w:rPr>
            </w:pPr>
            <w:r>
              <w:rPr>
                <w:szCs w:val="24"/>
              </w:rPr>
              <w:t xml:space="preserve">The Executive Committee (“the Committee”) is appointed by the Board </w:t>
            </w:r>
            <w:r w:rsidR="00B510EF">
              <w:rPr>
                <w:szCs w:val="24"/>
              </w:rPr>
              <w:t xml:space="preserve">of Directors (the "Board") </w:t>
            </w:r>
            <w:r>
              <w:rPr>
                <w:szCs w:val="24"/>
              </w:rPr>
              <w:t>to assist and discharge its responsibilities and shall transact necessary Board matters between Board meetings.</w:t>
            </w:r>
          </w:p>
          <w:p w:rsidR="00443472" w:rsidRDefault="00443472">
            <w:pPr>
              <w:jc w:val="both"/>
            </w:pPr>
          </w:p>
        </w:tc>
      </w:tr>
      <w:tr w:rsidR="0044347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443472" w:rsidRDefault="00443472"/>
          <w:p w:rsidR="00443472" w:rsidRDefault="00443472">
            <w:pPr>
              <w:numPr>
                <w:ilvl w:val="0"/>
                <w:numId w:val="6"/>
              </w:numPr>
            </w:pPr>
            <w:r>
              <w:t>Structure</w:t>
            </w:r>
          </w:p>
        </w:tc>
        <w:tc>
          <w:tcPr>
            <w:tcW w:w="6408" w:type="dxa"/>
          </w:tcPr>
          <w:p w:rsidR="00443472" w:rsidRDefault="00443472"/>
          <w:p w:rsidR="00443472" w:rsidRDefault="00443472">
            <w:pPr>
              <w:jc w:val="both"/>
              <w:rPr>
                <w:color w:val="000000"/>
                <w:szCs w:val="21"/>
              </w:rPr>
            </w:pPr>
            <w:r>
              <w:t xml:space="preserve">The Committee </w:t>
            </w:r>
            <w:r w:rsidR="00FC0D48">
              <w:t xml:space="preserve">is a Standing Committee and </w:t>
            </w:r>
            <w:r>
              <w:t>shall consist of not less than three (3) or more than six (6) directors as appointed by the Board</w:t>
            </w:r>
            <w:r w:rsidR="00B510EF">
              <w:t>. The Board</w:t>
            </w:r>
            <w:r>
              <w:t xml:space="preserve">, in its discretion, may remove a member. </w:t>
            </w:r>
            <w:r w:rsidR="00DE524E">
              <w:t xml:space="preserve"> </w:t>
            </w:r>
            <w:r>
              <w:t xml:space="preserve"> </w:t>
            </w:r>
            <w:r>
              <w:rPr>
                <w:color w:val="000000"/>
                <w:szCs w:val="21"/>
              </w:rPr>
              <w:t>The Chair of the Board</w:t>
            </w:r>
            <w:r w:rsidR="004E3B2E">
              <w:rPr>
                <w:color w:val="000000"/>
                <w:szCs w:val="21"/>
              </w:rPr>
              <w:t xml:space="preserve"> of Oil Casualty Insurance, Ltd.</w:t>
            </w:r>
            <w:r>
              <w:rPr>
                <w:color w:val="000000"/>
                <w:szCs w:val="21"/>
              </w:rPr>
              <w:t xml:space="preserve"> shall serve as Committee Chair</w:t>
            </w:r>
            <w:r w:rsidR="004E3B2E">
              <w:rPr>
                <w:color w:val="000000"/>
                <w:szCs w:val="21"/>
              </w:rPr>
              <w:t>.</w:t>
            </w:r>
            <w:r w:rsidR="00835E07">
              <w:rPr>
                <w:color w:val="000000"/>
                <w:szCs w:val="21"/>
              </w:rPr>
              <w:t xml:space="preserve"> </w:t>
            </w:r>
          </w:p>
          <w:p w:rsidR="00443472" w:rsidRDefault="00443472"/>
        </w:tc>
      </w:tr>
      <w:tr w:rsidR="0044347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443472" w:rsidRDefault="00443472"/>
          <w:p w:rsidR="00443472" w:rsidRDefault="00443472">
            <w:pPr>
              <w:numPr>
                <w:ilvl w:val="0"/>
                <w:numId w:val="6"/>
              </w:num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Procedure</w:t>
            </w:r>
          </w:p>
          <w:p w:rsidR="00443472" w:rsidRDefault="00443472"/>
          <w:p w:rsidR="00443472" w:rsidRDefault="00443472"/>
          <w:p w:rsidR="00443472" w:rsidRDefault="00443472"/>
          <w:p w:rsidR="00443472" w:rsidRDefault="00443472"/>
          <w:p w:rsidR="00443472" w:rsidRDefault="00443472"/>
          <w:p w:rsidR="00443472" w:rsidRDefault="00443472"/>
          <w:p w:rsidR="00443472" w:rsidRDefault="00443472"/>
          <w:p w:rsidR="00443472" w:rsidRDefault="00443472"/>
          <w:p w:rsidR="00443472" w:rsidRDefault="00443472"/>
          <w:p w:rsidR="00443472" w:rsidRDefault="00443472"/>
        </w:tc>
        <w:tc>
          <w:tcPr>
            <w:tcW w:w="6408" w:type="dxa"/>
          </w:tcPr>
          <w:p w:rsidR="00443472" w:rsidRDefault="00443472">
            <w:pPr>
              <w:rPr>
                <w:color w:val="000000"/>
                <w:szCs w:val="21"/>
              </w:rPr>
            </w:pPr>
          </w:p>
          <w:p w:rsidR="00443472" w:rsidRDefault="00480043">
            <w:pPr>
              <w:pStyle w:val="BodyText2"/>
              <w:spacing w:before="0" w:beforeAutospacing="0" w:after="0" w:afterAutospacing="0"/>
            </w:pPr>
            <w:r>
              <w:t xml:space="preserve">The Committee shall meet only when it deems it necessary, and need not meet unless deemed necessary. </w:t>
            </w:r>
            <w:r w:rsidR="00443472">
              <w:t>The Committee may ask members of management or others to attend Committee meetings and provide pertinent information when needed.</w:t>
            </w:r>
          </w:p>
          <w:p w:rsidR="00443472" w:rsidRDefault="00443472">
            <w:pPr>
              <w:pStyle w:val="BodyText2"/>
              <w:spacing w:before="0" w:beforeAutospacing="0" w:after="0" w:afterAutospacing="0"/>
            </w:pPr>
          </w:p>
          <w:p w:rsidR="00443472" w:rsidRDefault="00443472">
            <w:pPr>
              <w:pStyle w:val="BodyText2"/>
              <w:spacing w:before="0" w:beforeAutospacing="0" w:after="0" w:afterAutospacing="0"/>
            </w:pPr>
            <w:r>
              <w:t>At least half the members of the Committee will constitute a quorum with a majority of votes of those Committee members present at a meeting in which a quorum has been established being sufficient to adopt a resolu</w:t>
            </w:r>
            <w:r w:rsidR="0046698A">
              <w:t xml:space="preserve">tion or otherwise take action. </w:t>
            </w:r>
          </w:p>
          <w:p w:rsidR="0046698A" w:rsidRDefault="0046698A" w:rsidP="0046698A">
            <w:pPr>
              <w:spacing w:before="100" w:beforeAutospacing="1" w:after="100" w:afterAutospacing="1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The Committee may form and delegate authority to sub-committees when appropriate.</w:t>
            </w:r>
          </w:p>
          <w:p w:rsidR="00443472" w:rsidRDefault="00443472">
            <w:pPr>
              <w:pStyle w:val="BodyText2"/>
              <w:spacing w:before="0" w:beforeAutospacing="0" w:after="0" w:afterAutospacing="0"/>
            </w:pPr>
          </w:p>
          <w:p w:rsidR="00443472" w:rsidRDefault="00443472">
            <w:r>
              <w:t xml:space="preserve"> </w:t>
            </w:r>
          </w:p>
        </w:tc>
      </w:tr>
    </w:tbl>
    <w:p w:rsidR="00443472" w:rsidRDefault="00443472"/>
    <w:p w:rsidR="00443472" w:rsidRDefault="00443472"/>
    <w:p w:rsidR="00443472" w:rsidRDefault="00443472"/>
    <w:p w:rsidR="00443472" w:rsidRDefault="00443472"/>
    <w:p w:rsidR="00443472" w:rsidRDefault="00443472"/>
    <w:p w:rsidR="00443472" w:rsidRDefault="00443472"/>
    <w:p w:rsidR="00443472" w:rsidRDefault="00443472"/>
    <w:p w:rsidR="00443472" w:rsidRDefault="00443472"/>
    <w:p w:rsidR="00443472" w:rsidRDefault="00443472"/>
    <w:p w:rsidR="00443472" w:rsidRDefault="00443472"/>
    <w:p w:rsidR="00443472" w:rsidRDefault="00443472"/>
    <w:p w:rsidR="00443472" w:rsidRDefault="00443472">
      <w:r>
        <w:lastRenderedPageBreak/>
        <w:t xml:space="preserve">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6195"/>
      </w:tblGrid>
      <w:tr w:rsidR="0044347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443472" w:rsidRDefault="00443472"/>
          <w:p w:rsidR="00443472" w:rsidRDefault="00443472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43472" w:rsidRDefault="00443472">
            <w:pPr>
              <w:numPr>
                <w:ilvl w:val="0"/>
                <w:numId w:val="6"/>
              </w:numPr>
            </w:pPr>
            <w:r>
              <w:t>Duties, Responsibilities &amp; Authority</w:t>
            </w:r>
          </w:p>
          <w:p w:rsidR="00443472" w:rsidRDefault="00443472"/>
          <w:p w:rsidR="00443472" w:rsidRDefault="00443472"/>
        </w:tc>
        <w:tc>
          <w:tcPr>
            <w:tcW w:w="6408" w:type="dxa"/>
          </w:tcPr>
          <w:p w:rsidR="00443472" w:rsidRDefault="00443472">
            <w:pPr>
              <w:spacing w:before="100" w:beforeAutospacing="1" w:after="100" w:afterAutospacing="1"/>
              <w:jc w:val="both"/>
              <w:rPr>
                <w:color w:val="000000"/>
                <w:szCs w:val="21"/>
              </w:rPr>
            </w:pPr>
          </w:p>
          <w:p w:rsidR="00443472" w:rsidRDefault="00443472">
            <w:pPr>
              <w:spacing w:before="100" w:beforeAutospacing="1" w:after="100" w:afterAutospacing="1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The Committee, unless otherwise provided, shall possess and may exercise the powers and authority of the Board in the management of property, affairs, and business of the Company.</w:t>
            </w:r>
          </w:p>
          <w:p w:rsidR="00443472" w:rsidRDefault="00443472">
            <w:pPr>
              <w:spacing w:before="100" w:beforeAutospacing="1" w:after="100" w:afterAutospacing="1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The Committee shall have no power to take action on matters spec</w:t>
            </w:r>
            <w:r w:rsidR="0046698A">
              <w:rPr>
                <w:color w:val="000000"/>
                <w:szCs w:val="21"/>
              </w:rPr>
              <w:t>ifically reserved to the Board.</w:t>
            </w:r>
          </w:p>
          <w:p w:rsidR="00443472" w:rsidRDefault="00443472">
            <w:pPr>
              <w:pStyle w:val="BodyText2"/>
            </w:pPr>
            <w:r>
              <w:t>The Committee will have authority, in its discretion, to retain and terminate any consulting firm to assist in conducting its business.</w:t>
            </w:r>
          </w:p>
          <w:p w:rsidR="00443472" w:rsidRDefault="00443472">
            <w:pPr>
              <w:spacing w:before="100" w:beforeAutospacing="1" w:after="100" w:afterAutospacing="1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The Committee shall make regular reports to the Board.</w:t>
            </w:r>
          </w:p>
          <w:p w:rsidR="00443472" w:rsidRDefault="00443472">
            <w:pPr>
              <w:spacing w:before="100" w:beforeAutospacing="1" w:after="100" w:afterAutospacing="1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The Committee will conduct </w:t>
            </w:r>
            <w:r w:rsidR="004E4798" w:rsidRPr="00E719D1">
              <w:rPr>
                <w:szCs w:val="21"/>
              </w:rPr>
              <w:t>a biennial</w:t>
            </w:r>
            <w:r w:rsidR="004E4798" w:rsidRPr="00E719D1"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performance </w:t>
            </w:r>
            <w:r w:rsidR="00FC0D48">
              <w:rPr>
                <w:color w:val="000000"/>
                <w:szCs w:val="21"/>
              </w:rPr>
              <w:t>self-</w:t>
            </w:r>
            <w:r>
              <w:rPr>
                <w:color w:val="000000"/>
                <w:szCs w:val="21"/>
              </w:rPr>
              <w:t>evaluation of the Committee</w:t>
            </w:r>
            <w:r w:rsidR="00FC0D48">
              <w:rPr>
                <w:color w:val="000000"/>
                <w:szCs w:val="21"/>
              </w:rPr>
              <w:t xml:space="preserve"> or as otherwise determined by the Governance Committee</w:t>
            </w:r>
            <w:r>
              <w:rPr>
                <w:color w:val="000000"/>
                <w:szCs w:val="21"/>
              </w:rPr>
              <w:t xml:space="preserve">. </w:t>
            </w:r>
          </w:p>
          <w:p w:rsidR="00443472" w:rsidRDefault="00443472">
            <w:pPr>
              <w:jc w:val="both"/>
            </w:pPr>
            <w:r>
              <w:rPr>
                <w:color w:val="000000"/>
                <w:szCs w:val="21"/>
              </w:rPr>
              <w:t>The Committee will perform other functions as requested by the Board.</w:t>
            </w:r>
          </w:p>
          <w:p w:rsidR="00443472" w:rsidRDefault="00443472">
            <w:pPr>
              <w:rPr>
                <w:color w:val="000000"/>
                <w:szCs w:val="21"/>
              </w:rPr>
            </w:pPr>
          </w:p>
        </w:tc>
      </w:tr>
    </w:tbl>
    <w:p w:rsidR="00443472" w:rsidRDefault="00443472"/>
    <w:p w:rsidR="00443472" w:rsidRDefault="00443472"/>
    <w:p w:rsidR="00443472" w:rsidRDefault="00443472"/>
    <w:p w:rsidR="00443472" w:rsidRDefault="00443472"/>
    <w:p w:rsidR="00443472" w:rsidRDefault="00443472"/>
    <w:p w:rsidR="00443472" w:rsidRDefault="00443472"/>
    <w:p w:rsidR="00443472" w:rsidRDefault="00443472"/>
    <w:p w:rsidR="00443472" w:rsidRDefault="00443472"/>
    <w:p w:rsidR="00443472" w:rsidRDefault="00443472"/>
    <w:p w:rsidR="00443472" w:rsidRDefault="00443472"/>
    <w:p w:rsidR="00443472" w:rsidRDefault="00443472"/>
    <w:sectPr w:rsidR="00443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33" w:rsidRDefault="00F15733">
      <w:r>
        <w:separator/>
      </w:r>
    </w:p>
  </w:endnote>
  <w:endnote w:type="continuationSeparator" w:id="0">
    <w:p w:rsidR="00F15733" w:rsidRDefault="00F1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25" w:rsidRDefault="009141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125" w:rsidRDefault="00914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3F" w:rsidRPr="008C4217" w:rsidRDefault="00095CFF" w:rsidP="00C1623F">
    <w:pPr>
      <w:pStyle w:val="Footer"/>
      <w:rPr>
        <w:u w:val="single"/>
      </w:rPr>
    </w:pPr>
    <w:r>
      <w:t>December 2019</w:t>
    </w:r>
  </w:p>
  <w:p w:rsidR="003D0F7A" w:rsidRDefault="003D0F7A" w:rsidP="003D0F7A">
    <w:pPr>
      <w:pStyle w:val="Footer"/>
    </w:pPr>
  </w:p>
  <w:p w:rsidR="00914125" w:rsidRPr="004E4798" w:rsidRDefault="00914125">
    <w:pPr>
      <w:pStyle w:val="Footer"/>
      <w:rPr>
        <w:color w:val="FF0000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65" w:rsidRDefault="00C24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33" w:rsidRDefault="00F15733">
      <w:r>
        <w:separator/>
      </w:r>
    </w:p>
  </w:footnote>
  <w:footnote w:type="continuationSeparator" w:id="0">
    <w:p w:rsidR="00F15733" w:rsidRDefault="00F15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65" w:rsidRDefault="00C24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25" w:rsidRDefault="00D0483B" w:rsidP="00D0483B">
    <w:pPr>
      <w:jc w:val="center"/>
      <w:rPr>
        <w:b/>
        <w:sz w:val="28"/>
        <w:szCs w:val="28"/>
        <w:lang w:val="fr-FR"/>
      </w:rPr>
    </w:pPr>
    <w:r w:rsidRPr="00D0483B">
      <w:rPr>
        <w:b/>
        <w:sz w:val="28"/>
        <w:szCs w:val="28"/>
        <w:lang w:val="fr-FR"/>
      </w:rPr>
      <w:t>O</w:t>
    </w:r>
    <w:r w:rsidR="00480043">
      <w:rPr>
        <w:b/>
        <w:sz w:val="28"/>
        <w:szCs w:val="28"/>
        <w:lang w:val="fr-FR"/>
      </w:rPr>
      <w:t>IL CASUALTY INSURANCE,</w:t>
    </w:r>
    <w:r w:rsidRPr="00D0483B">
      <w:rPr>
        <w:b/>
        <w:sz w:val="28"/>
        <w:szCs w:val="28"/>
        <w:lang w:val="fr-FR"/>
      </w:rPr>
      <w:t xml:space="preserve"> LTD.</w:t>
    </w:r>
  </w:p>
  <w:p w:rsidR="00470611" w:rsidRDefault="00470611" w:rsidP="00D0483B">
    <w:pPr>
      <w:jc w:val="center"/>
      <w:rPr>
        <w:b/>
        <w:sz w:val="28"/>
        <w:szCs w:val="28"/>
        <w:lang w:val="fr-FR"/>
      </w:rPr>
    </w:pPr>
    <w:r>
      <w:rPr>
        <w:b/>
        <w:sz w:val="28"/>
        <w:szCs w:val="28"/>
        <w:lang w:val="fr-FR"/>
      </w:rPr>
      <w:t>&amp;</w:t>
    </w:r>
  </w:p>
  <w:p w:rsidR="00D0483B" w:rsidRDefault="00470611" w:rsidP="00D0483B">
    <w:pPr>
      <w:jc w:val="center"/>
      <w:rPr>
        <w:b/>
        <w:sz w:val="28"/>
        <w:szCs w:val="28"/>
        <w:lang w:val="fr-FR"/>
      </w:rPr>
    </w:pPr>
    <w:r>
      <w:rPr>
        <w:b/>
        <w:sz w:val="28"/>
        <w:szCs w:val="28"/>
        <w:lang w:val="fr-FR"/>
      </w:rPr>
      <w:t>OIL INSUARNCE LIMITED</w:t>
    </w:r>
  </w:p>
  <w:p w:rsidR="00030867" w:rsidRDefault="00030867" w:rsidP="00D0483B">
    <w:pPr>
      <w:jc w:val="center"/>
      <w:rPr>
        <w:b/>
        <w:sz w:val="28"/>
        <w:szCs w:val="28"/>
        <w:lang w:val="fr-FR"/>
      </w:rPr>
    </w:pPr>
  </w:p>
  <w:p w:rsidR="00D0483B" w:rsidRDefault="00D0483B" w:rsidP="00D0483B">
    <w:pPr>
      <w:pStyle w:val="Title"/>
      <w:rPr>
        <w:sz w:val="28"/>
      </w:rPr>
    </w:pPr>
    <w:r>
      <w:rPr>
        <w:sz w:val="28"/>
      </w:rPr>
      <w:t>Executive Committee Charter</w:t>
    </w:r>
  </w:p>
  <w:p w:rsidR="00D0483B" w:rsidRPr="00D0483B" w:rsidRDefault="00D0483B" w:rsidP="00D0483B">
    <w:pPr>
      <w:jc w:val="center"/>
      <w:rPr>
        <w:b/>
        <w:sz w:val="28"/>
        <w:szCs w:val="28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65" w:rsidRDefault="00C24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1F3E"/>
    <w:multiLevelType w:val="hybridMultilevel"/>
    <w:tmpl w:val="9BCEADD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34A2F"/>
    <w:multiLevelType w:val="hybridMultilevel"/>
    <w:tmpl w:val="541E60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8A5236"/>
    <w:multiLevelType w:val="hybridMultilevel"/>
    <w:tmpl w:val="2D58FC8C"/>
    <w:lvl w:ilvl="0" w:tplc="45704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8C6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4E61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8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E2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62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22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7E8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52526"/>
    <w:multiLevelType w:val="hybridMultilevel"/>
    <w:tmpl w:val="AEE86E26"/>
    <w:lvl w:ilvl="0" w:tplc="0644B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722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45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607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234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AE9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CA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A5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27D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F0D94"/>
    <w:multiLevelType w:val="hybridMultilevel"/>
    <w:tmpl w:val="159A1B24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CD86119"/>
    <w:multiLevelType w:val="hybridMultilevel"/>
    <w:tmpl w:val="77DA7C7E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lvl w:ilvl="0" w:tplc="0644B07E">
        <w:numFmt w:val="upperRoman"/>
        <w:lvlText w:val="%1."/>
        <w:lvlJc w:val="right"/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>
      <w:lvl w:ilvl="0" w:tplc="45704DF8">
        <w:numFmt w:val="upperRoman"/>
        <w:lvlText w:val="%1."/>
        <w:lvlJc w:val="righ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AE"/>
    <w:rsid w:val="0002346B"/>
    <w:rsid w:val="00030867"/>
    <w:rsid w:val="00095CFF"/>
    <w:rsid w:val="000C494E"/>
    <w:rsid w:val="000E0332"/>
    <w:rsid w:val="001A2113"/>
    <w:rsid w:val="001F11E9"/>
    <w:rsid w:val="002200B5"/>
    <w:rsid w:val="002470F5"/>
    <w:rsid w:val="002529AE"/>
    <w:rsid w:val="0026309E"/>
    <w:rsid w:val="002A2CBA"/>
    <w:rsid w:val="002B7367"/>
    <w:rsid w:val="003D0F7A"/>
    <w:rsid w:val="0040764A"/>
    <w:rsid w:val="00437DA0"/>
    <w:rsid w:val="00443472"/>
    <w:rsid w:val="0046698A"/>
    <w:rsid w:val="00470611"/>
    <w:rsid w:val="00480043"/>
    <w:rsid w:val="004B472F"/>
    <w:rsid w:val="004E3B2E"/>
    <w:rsid w:val="004E4798"/>
    <w:rsid w:val="00642DA1"/>
    <w:rsid w:val="00642FF0"/>
    <w:rsid w:val="006715DF"/>
    <w:rsid w:val="006C2ED0"/>
    <w:rsid w:val="00707739"/>
    <w:rsid w:val="00755FD0"/>
    <w:rsid w:val="0077142A"/>
    <w:rsid w:val="007773E2"/>
    <w:rsid w:val="00835E07"/>
    <w:rsid w:val="00846C83"/>
    <w:rsid w:val="00876D95"/>
    <w:rsid w:val="00890493"/>
    <w:rsid w:val="008D0C66"/>
    <w:rsid w:val="008E1956"/>
    <w:rsid w:val="008F0A63"/>
    <w:rsid w:val="00906126"/>
    <w:rsid w:val="00914125"/>
    <w:rsid w:val="00921444"/>
    <w:rsid w:val="009665F0"/>
    <w:rsid w:val="009A6719"/>
    <w:rsid w:val="009B1754"/>
    <w:rsid w:val="009E6FDF"/>
    <w:rsid w:val="009F2460"/>
    <w:rsid w:val="00A05D70"/>
    <w:rsid w:val="00A06E2C"/>
    <w:rsid w:val="00A26B7D"/>
    <w:rsid w:val="00AA11AE"/>
    <w:rsid w:val="00AC78A7"/>
    <w:rsid w:val="00AF64AF"/>
    <w:rsid w:val="00B00841"/>
    <w:rsid w:val="00B127DC"/>
    <w:rsid w:val="00B50E7C"/>
    <w:rsid w:val="00B510EF"/>
    <w:rsid w:val="00B52EE5"/>
    <w:rsid w:val="00BB0DA7"/>
    <w:rsid w:val="00C00A2E"/>
    <w:rsid w:val="00C1457F"/>
    <w:rsid w:val="00C1623F"/>
    <w:rsid w:val="00C23B3E"/>
    <w:rsid w:val="00C24365"/>
    <w:rsid w:val="00C64C00"/>
    <w:rsid w:val="00C66B6F"/>
    <w:rsid w:val="00C72763"/>
    <w:rsid w:val="00CA0167"/>
    <w:rsid w:val="00CA61BA"/>
    <w:rsid w:val="00CA7DA1"/>
    <w:rsid w:val="00CE60A6"/>
    <w:rsid w:val="00D0483B"/>
    <w:rsid w:val="00D33539"/>
    <w:rsid w:val="00D37CA2"/>
    <w:rsid w:val="00D62B04"/>
    <w:rsid w:val="00D82EAE"/>
    <w:rsid w:val="00D87035"/>
    <w:rsid w:val="00DE524E"/>
    <w:rsid w:val="00E1638F"/>
    <w:rsid w:val="00E2448B"/>
    <w:rsid w:val="00E56D35"/>
    <w:rsid w:val="00E719D1"/>
    <w:rsid w:val="00EB4C29"/>
    <w:rsid w:val="00F148E2"/>
    <w:rsid w:val="00F15733"/>
    <w:rsid w:val="00F1720E"/>
    <w:rsid w:val="00F353C8"/>
    <w:rsid w:val="00F92CDA"/>
    <w:rsid w:val="00F93CE7"/>
    <w:rsid w:val="00FA4495"/>
    <w:rsid w:val="00FA634F"/>
    <w:rsid w:val="00F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C90D51-1430-45F0-8905-28D23173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color w:val="000000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before="100" w:beforeAutospacing="1" w:after="100" w:afterAutospacing="1"/>
      <w:jc w:val="both"/>
    </w:pPr>
    <w:rPr>
      <w:color w:val="000000"/>
      <w:szCs w:val="21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360"/>
    </w:pPr>
    <w:rPr>
      <w:color w:val="000000"/>
      <w:szCs w:val="21"/>
    </w:rPr>
  </w:style>
  <w:style w:type="paragraph" w:styleId="BodyText3">
    <w:name w:val="Body Text 3"/>
    <w:basedOn w:val="Normal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A26B7D"/>
    <w:rPr>
      <w:sz w:val="16"/>
      <w:szCs w:val="16"/>
    </w:rPr>
  </w:style>
  <w:style w:type="character" w:customStyle="1" w:styleId="BalloonTextChar">
    <w:name w:val="Balloon Text Char"/>
    <w:link w:val="BalloonText"/>
    <w:rsid w:val="00A26B7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0F7A"/>
    <w:rPr>
      <w:rFonts w:ascii="Tahoma" w:hAnsi="Tahoma" w:cs="Tahoma"/>
      <w:sz w:val="22"/>
      <w:szCs w:val="24"/>
    </w:rPr>
  </w:style>
  <w:style w:type="character" w:customStyle="1" w:styleId="TitleChar">
    <w:name w:val="Title Char"/>
    <w:link w:val="Title"/>
    <w:rsid w:val="00642FF0"/>
    <w:rPr>
      <w:rFonts w:ascii="Tahoma" w:hAnsi="Tahoma" w:cs="Tahoma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Oil Insurance Limited</vt:lpstr>
    </vt:vector>
  </TitlesOfParts>
  <Company>OIL Management Services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Insurance Limited</dc:title>
  <dc:subject/>
  <dc:creator>jg</dc:creator>
  <cp:keywords/>
  <cp:lastModifiedBy>Ferguson, Deshante</cp:lastModifiedBy>
  <cp:revision>2</cp:revision>
  <cp:lastPrinted>2019-11-08T18:33:00Z</cp:lastPrinted>
  <dcterms:created xsi:type="dcterms:W3CDTF">2020-05-04T12:30:00Z</dcterms:created>
  <dcterms:modified xsi:type="dcterms:W3CDTF">2020-05-04T12:30:00Z</dcterms:modified>
</cp:coreProperties>
</file>