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6B" w:rsidRDefault="002D116B" w:rsidP="0043007F">
      <w:pPr>
        <w:pStyle w:val="Title"/>
        <w:jc w:val="left"/>
        <w:rPr>
          <w:sz w:val="24"/>
        </w:rPr>
      </w:pPr>
      <w:r>
        <w:rPr>
          <w:sz w:val="24"/>
        </w:rPr>
        <w:t> </w:t>
      </w:r>
    </w:p>
    <w:p w:rsidR="002D116B" w:rsidRDefault="002D116B">
      <w:pPr>
        <w:pStyle w:val="Footer"/>
        <w:tabs>
          <w:tab w:val="left" w:pos="720"/>
        </w:tabs>
        <w:rPr>
          <w:szCs w:val="20"/>
        </w:rPr>
      </w:pPr>
      <w:r>
        <w:rPr>
          <w:szCs w:val="22"/>
        </w:rPr>
        <w:t> </w:t>
      </w: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7110"/>
      </w:tblGrid>
      <w:tr w:rsidR="002D116B" w:rsidTr="0043007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14"/>
              </w:rPr>
              <w:t>  </w:t>
            </w:r>
            <w:r>
              <w:rPr>
                <w:rFonts w:ascii="Tahoma" w:hAnsi="Tahoma" w:cs="Tahoma"/>
                <w:sz w:val="22"/>
              </w:rPr>
              <w:t>Purpose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jc w:val="both"/>
              <w:rPr>
                <w:rFonts w:ascii="Tahoma" w:hAnsi="Tahoma" w:cs="Tahoma"/>
                <w:color w:val="000000"/>
                <w:sz w:val="22"/>
                <w:szCs w:val="20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Joint Compensation Committee (“the Committee”) </w:t>
            </w:r>
            <w:r w:rsidR="00777274">
              <w:rPr>
                <w:rFonts w:ascii="Tahoma" w:hAnsi="Tahoma" w:cs="Tahoma"/>
                <w:color w:val="000000"/>
                <w:sz w:val="22"/>
                <w:szCs w:val="21"/>
              </w:rPr>
              <w:t>shall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 carry out the responsibi</w:t>
            </w:r>
            <w:r w:rsidR="00DA07A8">
              <w:rPr>
                <w:rFonts w:ascii="Tahoma" w:hAnsi="Tahoma" w:cs="Tahoma"/>
                <w:color w:val="000000"/>
                <w:sz w:val="22"/>
                <w:szCs w:val="21"/>
              </w:rPr>
              <w:t>lity of the Boards of Directors</w:t>
            </w:r>
            <w:r w:rsidR="0081304B">
              <w:rPr>
                <w:rFonts w:ascii="Tahoma" w:hAnsi="Tahoma" w:cs="Tahom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relating to the Executive </w:t>
            </w:r>
            <w:r w:rsidR="00B172DA">
              <w:rPr>
                <w:rFonts w:ascii="Tahoma" w:hAnsi="Tahoma" w:cs="Tahoma"/>
                <w:color w:val="000000"/>
                <w:sz w:val="22"/>
                <w:szCs w:val="21"/>
              </w:rPr>
              <w:t>S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>taff of Oil Management Services Ltd.</w:t>
            </w:r>
            <w:r w:rsidR="00E260CF">
              <w:rPr>
                <w:rFonts w:ascii="Tahoma" w:hAnsi="Tahoma" w:cs="Tahoma"/>
                <w:color w:val="000000"/>
                <w:sz w:val="22"/>
                <w:szCs w:val="21"/>
              </w:rPr>
              <w:t xml:space="preserve"> (the “Company”).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 </w:t>
            </w:r>
            <w:r w:rsidR="00572EBF" w:rsidRPr="007A6A3D">
              <w:rPr>
                <w:rFonts w:ascii="Tahoma" w:hAnsi="Tahoma" w:cs="Tahoma"/>
                <w:sz w:val="22"/>
                <w:szCs w:val="21"/>
              </w:rPr>
              <w:t xml:space="preserve">Executive staff are defined as </w:t>
            </w:r>
            <w:r w:rsidR="00572EBF" w:rsidRPr="00123095">
              <w:rPr>
                <w:rFonts w:ascii="Tahoma" w:hAnsi="Tahoma" w:cs="Tahoma"/>
                <w:sz w:val="22"/>
                <w:szCs w:val="21"/>
              </w:rPr>
              <w:t xml:space="preserve">the Chief Executive Officer, Senior Vice Presidents and </w:t>
            </w:r>
            <w:r w:rsidR="007A62D0">
              <w:rPr>
                <w:rFonts w:ascii="Tahoma" w:hAnsi="Tahoma" w:cs="Tahoma"/>
                <w:sz w:val="22"/>
                <w:szCs w:val="21"/>
              </w:rPr>
              <w:t>Vice Presidents</w:t>
            </w:r>
            <w:r w:rsidR="00B172DA">
              <w:rPr>
                <w:rFonts w:ascii="Tahoma" w:hAnsi="Tahoma" w:cs="Tahoma"/>
                <w:sz w:val="22"/>
                <w:szCs w:val="21"/>
              </w:rPr>
              <w:t xml:space="preserve"> (the “Executive Staff”)</w:t>
            </w:r>
            <w:r w:rsidR="00572EBF" w:rsidRPr="00123095">
              <w:rPr>
                <w:rFonts w:ascii="Tahoma" w:hAnsi="Tahoma" w:cs="Tahoma"/>
                <w:sz w:val="22"/>
                <w:szCs w:val="21"/>
              </w:rPr>
              <w:t>.</w:t>
            </w:r>
            <w:r w:rsidR="00572EBF" w:rsidRPr="000F214C">
              <w:rPr>
                <w:rFonts w:ascii="Tahoma" w:hAnsi="Tahoma"/>
                <w:sz w:val="22"/>
              </w:rPr>
              <w:t xml:space="preserve">  </w:t>
            </w:r>
            <w:r w:rsidR="00D14A20" w:rsidRPr="000F214C">
              <w:rPr>
                <w:rFonts w:ascii="Tahoma" w:hAnsi="Tahoma"/>
                <w:sz w:val="22"/>
              </w:rPr>
              <w:t xml:space="preserve">The Committee 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 xml:space="preserve">has overall responsibility for </w:t>
            </w:r>
            <w:r w:rsidR="00123095" w:rsidRPr="005F203C">
              <w:rPr>
                <w:rFonts w:ascii="Tahoma" w:hAnsi="Tahoma" w:cs="Tahoma"/>
                <w:sz w:val="22"/>
                <w:szCs w:val="21"/>
              </w:rPr>
              <w:t xml:space="preserve">evaluating and 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>approving</w:t>
            </w:r>
            <w:r w:rsidR="00D14A20" w:rsidRPr="000F214C">
              <w:rPr>
                <w:rFonts w:ascii="Tahoma" w:hAnsi="Tahoma"/>
                <w:sz w:val="22"/>
              </w:rPr>
              <w:t xml:space="preserve"> </w:t>
            </w:r>
            <w:r w:rsidR="00826B5F">
              <w:rPr>
                <w:rFonts w:ascii="Tahoma" w:hAnsi="Tahoma"/>
                <w:sz w:val="22"/>
              </w:rPr>
              <w:t xml:space="preserve">executive </w:t>
            </w:r>
            <w:r w:rsidR="00D14A20" w:rsidRPr="000F214C">
              <w:rPr>
                <w:rFonts w:ascii="Tahoma" w:hAnsi="Tahoma"/>
                <w:sz w:val="22"/>
              </w:rPr>
              <w:t xml:space="preserve">compensation 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>plans</w:t>
            </w:r>
            <w:r w:rsidR="008C0997" w:rsidRPr="005F203C">
              <w:rPr>
                <w:rFonts w:ascii="Tahoma" w:hAnsi="Tahoma" w:cs="Tahoma"/>
                <w:sz w:val="22"/>
                <w:szCs w:val="21"/>
              </w:rPr>
              <w:t>,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 xml:space="preserve"> policies</w:t>
            </w:r>
            <w:r w:rsidR="008C0997" w:rsidRPr="005F203C">
              <w:rPr>
                <w:rFonts w:ascii="Tahoma" w:hAnsi="Tahoma" w:cs="Tahoma"/>
                <w:sz w:val="22"/>
                <w:szCs w:val="21"/>
              </w:rPr>
              <w:t>,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 xml:space="preserve"> and </w:t>
            </w:r>
            <w:r w:rsidR="00D14A20" w:rsidRPr="000F214C">
              <w:rPr>
                <w:rFonts w:ascii="Tahoma" w:hAnsi="Tahoma"/>
                <w:sz w:val="22"/>
              </w:rPr>
              <w:t xml:space="preserve">programs </w:t>
            </w:r>
            <w:r w:rsidR="00D14A20" w:rsidRPr="005F203C">
              <w:rPr>
                <w:rFonts w:ascii="Tahoma" w:hAnsi="Tahoma" w:cs="Tahoma"/>
                <w:sz w:val="22"/>
                <w:szCs w:val="21"/>
              </w:rPr>
              <w:t xml:space="preserve">of the Company </w:t>
            </w:r>
            <w:r w:rsidR="00D14A20" w:rsidRPr="000F214C">
              <w:rPr>
                <w:rFonts w:ascii="Tahoma" w:hAnsi="Tahoma"/>
                <w:sz w:val="22"/>
              </w:rPr>
              <w:t xml:space="preserve">that </w:t>
            </w:r>
            <w:r w:rsidRPr="000F214C">
              <w:rPr>
                <w:rFonts w:ascii="Tahoma" w:hAnsi="Tahoma"/>
                <w:sz w:val="22"/>
              </w:rPr>
              <w:t xml:space="preserve">enable the Company to </w:t>
            </w:r>
            <w:r w:rsidR="00774E93" w:rsidRPr="00123095">
              <w:rPr>
                <w:rFonts w:ascii="Tahoma" w:hAnsi="Tahoma" w:cs="Tahoma"/>
                <w:sz w:val="22"/>
                <w:szCs w:val="21"/>
              </w:rPr>
              <w:t xml:space="preserve">attract, </w:t>
            </w:r>
            <w:r w:rsidRPr="000F214C">
              <w:rPr>
                <w:rFonts w:ascii="Tahoma" w:hAnsi="Tahoma"/>
                <w:sz w:val="22"/>
              </w:rPr>
              <w:t xml:space="preserve">retain and motivate a team of </w:t>
            </w:r>
            <w:r w:rsidRPr="005F203C">
              <w:rPr>
                <w:rFonts w:ascii="Tahoma" w:hAnsi="Tahoma" w:cs="Tahoma"/>
                <w:sz w:val="22"/>
                <w:szCs w:val="21"/>
              </w:rPr>
              <w:t>high</w:t>
            </w:r>
            <w:r w:rsidR="00123095" w:rsidRPr="005F203C">
              <w:rPr>
                <w:rFonts w:ascii="Tahoma" w:hAnsi="Tahoma" w:cs="Tahoma"/>
                <w:sz w:val="22"/>
                <w:szCs w:val="21"/>
              </w:rPr>
              <w:t>ly</w:t>
            </w:r>
            <w:r w:rsidRPr="005F203C">
              <w:rPr>
                <w:rFonts w:ascii="Tahoma" w:hAnsi="Tahoma" w:cs="Tahoma"/>
                <w:sz w:val="22"/>
                <w:szCs w:val="21"/>
              </w:rPr>
              <w:t xml:space="preserve"> quali</w:t>
            </w:r>
            <w:r w:rsidR="00123095" w:rsidRPr="005F203C">
              <w:rPr>
                <w:rFonts w:ascii="Tahoma" w:hAnsi="Tahoma" w:cs="Tahoma"/>
                <w:sz w:val="22"/>
                <w:szCs w:val="21"/>
              </w:rPr>
              <w:t>fied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 executives who will create long-term shareholder value</w:t>
            </w:r>
            <w:r>
              <w:rPr>
                <w:rFonts w:ascii="Tahoma" w:hAnsi="Tahoma" w:cs="Tahoma"/>
                <w:color w:val="000000"/>
                <w:sz w:val="22"/>
                <w:szCs w:val="20"/>
              </w:rPr>
              <w:t>.</w:t>
            </w:r>
          </w:p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 </w:t>
            </w:r>
          </w:p>
        </w:tc>
      </w:tr>
      <w:tr w:rsidR="002D116B" w:rsidTr="0043007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14"/>
              </w:rPr>
              <w:t> </w:t>
            </w:r>
            <w:r>
              <w:rPr>
                <w:rFonts w:ascii="Tahoma" w:hAnsi="Tahoma" w:cs="Tahoma"/>
                <w:sz w:val="22"/>
              </w:rPr>
              <w:t>Structure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84180F" w:rsidRDefault="0084180F" w:rsidP="0084180F">
            <w:pPr>
              <w:pStyle w:val="BodyText"/>
              <w:jc w:val="both"/>
            </w:pPr>
            <w:r>
              <w:t xml:space="preserve">The Committee is a </w:t>
            </w:r>
            <w:r w:rsidR="005B1FB2">
              <w:t>s</w:t>
            </w:r>
            <w:r>
              <w:t xml:space="preserve">tanding </w:t>
            </w:r>
            <w:r w:rsidR="005B1FB2">
              <w:t>c</w:t>
            </w:r>
            <w:r>
              <w:t xml:space="preserve">ommittee and will meet as a joint committee.  </w:t>
            </w:r>
          </w:p>
          <w:p w:rsidR="0084180F" w:rsidRDefault="0084180F">
            <w:pPr>
              <w:jc w:val="both"/>
              <w:rPr>
                <w:rFonts w:ascii="Tahoma" w:hAnsi="Tahoma" w:cs="Tahoma"/>
                <w:sz w:val="22"/>
              </w:rPr>
            </w:pPr>
          </w:p>
          <w:p w:rsidR="002D116B" w:rsidRPr="0043007F" w:rsidRDefault="00602A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D10">
              <w:rPr>
                <w:rFonts w:ascii="Arial" w:hAnsi="Arial" w:cs="Arial"/>
                <w:sz w:val="22"/>
                <w:szCs w:val="22"/>
              </w:rPr>
              <w:t>Members of the Committee are appointed by their respective Company Boards</w:t>
            </w:r>
            <w:r w:rsidR="004300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D116B">
              <w:rPr>
                <w:rFonts w:ascii="Tahoma" w:hAnsi="Tahoma" w:cs="Tahoma"/>
                <w:sz w:val="22"/>
              </w:rPr>
              <w:t>The Committee</w:t>
            </w:r>
            <w:r w:rsidR="0084180F">
              <w:rPr>
                <w:rFonts w:ascii="Tahoma" w:hAnsi="Tahoma" w:cs="Tahoma"/>
                <w:sz w:val="22"/>
              </w:rPr>
              <w:t xml:space="preserve"> </w:t>
            </w:r>
            <w:r w:rsidR="00777274">
              <w:rPr>
                <w:rFonts w:ascii="Tahoma" w:hAnsi="Tahoma" w:cs="Tahoma"/>
                <w:sz w:val="22"/>
              </w:rPr>
              <w:t>shall</w:t>
            </w:r>
            <w:r w:rsidR="002D116B">
              <w:rPr>
                <w:rFonts w:ascii="Tahoma" w:hAnsi="Tahoma" w:cs="Tahoma"/>
                <w:sz w:val="22"/>
              </w:rPr>
              <w:t xml:space="preserve"> consist of</w:t>
            </w:r>
            <w:r w:rsidR="002D116B" w:rsidRPr="00B31018">
              <w:rPr>
                <w:rFonts w:ascii="Tahoma" w:hAnsi="Tahoma" w:cs="Tahoma"/>
                <w:sz w:val="22"/>
              </w:rPr>
              <w:t xml:space="preserve"> </w:t>
            </w:r>
            <w:r w:rsidR="0076655E" w:rsidRPr="00B31018">
              <w:rPr>
                <w:rFonts w:ascii="Tahoma" w:hAnsi="Tahoma" w:cs="Tahoma"/>
                <w:sz w:val="22"/>
              </w:rPr>
              <w:t>t</w:t>
            </w:r>
            <w:r w:rsidR="009A68AA" w:rsidRPr="00B31018">
              <w:rPr>
                <w:rFonts w:ascii="Tahoma" w:hAnsi="Tahoma" w:cs="Tahoma"/>
                <w:sz w:val="22"/>
              </w:rPr>
              <w:t xml:space="preserve">he </w:t>
            </w:r>
            <w:r w:rsidR="002D116B" w:rsidRPr="00B31018">
              <w:rPr>
                <w:rFonts w:ascii="Tahoma" w:hAnsi="Tahoma" w:cs="Tahoma"/>
                <w:sz w:val="22"/>
              </w:rPr>
              <w:t xml:space="preserve">Chair and Deputy Chair of </w:t>
            </w:r>
            <w:r w:rsidR="00A94B6B" w:rsidRPr="00416D10">
              <w:rPr>
                <w:rFonts w:ascii="Arial" w:hAnsi="Arial" w:cs="Arial"/>
                <w:sz w:val="22"/>
                <w:szCs w:val="22"/>
              </w:rPr>
              <w:t>Oil Insurance Limited</w:t>
            </w:r>
            <w:r w:rsidR="00F42D8A">
              <w:rPr>
                <w:rFonts w:ascii="Arial" w:hAnsi="Arial" w:cs="Arial"/>
                <w:sz w:val="22"/>
                <w:szCs w:val="22"/>
              </w:rPr>
              <w:t xml:space="preserve"> (“OIL”)</w:t>
            </w:r>
            <w:r w:rsidR="00A94B6B" w:rsidRPr="00416D10">
              <w:rPr>
                <w:rFonts w:ascii="Arial" w:hAnsi="Arial" w:cs="Arial"/>
                <w:sz w:val="22"/>
                <w:szCs w:val="22"/>
              </w:rPr>
              <w:t xml:space="preserve"> and Oil Casualty Insurance, Ltd.</w:t>
            </w:r>
            <w:r w:rsidR="00A94B6B">
              <w:rPr>
                <w:rFonts w:ascii="Arial" w:hAnsi="Arial" w:cs="Arial"/>
                <w:sz w:val="22"/>
                <w:szCs w:val="22"/>
              </w:rPr>
              <w:t>,</w:t>
            </w:r>
            <w:r w:rsidR="00F42D8A">
              <w:rPr>
                <w:rFonts w:ascii="Arial" w:hAnsi="Arial" w:cs="Arial"/>
                <w:sz w:val="22"/>
                <w:szCs w:val="22"/>
              </w:rPr>
              <w:t xml:space="preserve"> (“OCIL)</w:t>
            </w:r>
            <w:r w:rsidR="00A94B6B">
              <w:rPr>
                <w:rFonts w:ascii="Arial" w:hAnsi="Arial" w:cs="Arial"/>
                <w:sz w:val="22"/>
                <w:szCs w:val="22"/>
              </w:rPr>
              <w:t xml:space="preserve"> respectively</w:t>
            </w:r>
            <w:r w:rsidR="00F42D8A">
              <w:rPr>
                <w:rFonts w:ascii="Tahoma" w:hAnsi="Tahoma" w:cs="Tahoma"/>
                <w:sz w:val="22"/>
              </w:rPr>
              <w:t>.</w:t>
            </w:r>
            <w:r w:rsidR="009A68AA" w:rsidRPr="00B31018">
              <w:rPr>
                <w:rFonts w:ascii="Tahoma" w:hAnsi="Tahoma" w:cs="Tahoma"/>
                <w:sz w:val="22"/>
              </w:rPr>
              <w:t xml:space="preserve"> </w:t>
            </w:r>
            <w:r w:rsidR="00F42D8A">
              <w:rPr>
                <w:rFonts w:ascii="Tahoma" w:hAnsi="Tahoma" w:cs="Tahoma"/>
                <w:sz w:val="22"/>
              </w:rPr>
              <w:t>I</w:t>
            </w:r>
            <w:r w:rsidR="0056607B" w:rsidRPr="00B31018">
              <w:rPr>
                <w:rFonts w:ascii="Tahoma" w:hAnsi="Tahoma" w:cs="Tahoma"/>
                <w:sz w:val="22"/>
              </w:rPr>
              <w:t xml:space="preserve">n addition, the Chair of OIL </w:t>
            </w:r>
            <w:r w:rsidR="00777274">
              <w:rPr>
                <w:rFonts w:ascii="Tahoma" w:hAnsi="Tahoma" w:cs="Tahoma"/>
                <w:sz w:val="22"/>
              </w:rPr>
              <w:t xml:space="preserve">shall </w:t>
            </w:r>
            <w:r w:rsidR="0056607B" w:rsidRPr="00B31018">
              <w:rPr>
                <w:rFonts w:ascii="Tahoma" w:hAnsi="Tahoma" w:cs="Tahoma"/>
                <w:sz w:val="22"/>
              </w:rPr>
              <w:t xml:space="preserve">nominate two (2) additional directors for membership on the Committee; and the Chair of OCIL </w:t>
            </w:r>
            <w:r w:rsidR="00777274">
              <w:rPr>
                <w:rFonts w:ascii="Tahoma" w:hAnsi="Tahoma" w:cs="Tahoma"/>
                <w:sz w:val="22"/>
              </w:rPr>
              <w:t>shall</w:t>
            </w:r>
            <w:r w:rsidR="0056607B" w:rsidRPr="00B31018">
              <w:rPr>
                <w:rFonts w:ascii="Tahoma" w:hAnsi="Tahoma" w:cs="Tahoma"/>
                <w:sz w:val="22"/>
              </w:rPr>
              <w:t xml:space="preserve"> nominate one (1) additional director for membership on the Committee. </w:t>
            </w:r>
            <w:r w:rsidR="0043007F" w:rsidRPr="00B31018">
              <w:rPr>
                <w:rFonts w:ascii="Tahoma" w:hAnsi="Tahoma" w:cs="Tahoma"/>
                <w:sz w:val="22"/>
              </w:rPr>
              <w:t>The Committee</w:t>
            </w:r>
            <w:r w:rsidR="002D116B" w:rsidRPr="00B31018">
              <w:rPr>
                <w:rFonts w:ascii="Tahoma" w:hAnsi="Tahoma" w:cs="Tahoma"/>
                <w:sz w:val="22"/>
              </w:rPr>
              <w:t xml:space="preserve"> </w:t>
            </w:r>
            <w:r w:rsidR="00777274">
              <w:rPr>
                <w:rFonts w:ascii="Tahoma" w:hAnsi="Tahoma" w:cs="Tahoma"/>
                <w:sz w:val="22"/>
              </w:rPr>
              <w:t>shall</w:t>
            </w:r>
            <w:r w:rsidR="002D116B" w:rsidRPr="00B31018">
              <w:rPr>
                <w:rFonts w:ascii="Tahoma" w:hAnsi="Tahoma" w:cs="Tahoma"/>
                <w:sz w:val="22"/>
              </w:rPr>
              <w:t xml:space="preserve"> elect a Chair from among its </w:t>
            </w:r>
            <w:r w:rsidR="0043007F">
              <w:rPr>
                <w:rFonts w:ascii="Tahoma" w:hAnsi="Tahoma" w:cs="Tahoma"/>
                <w:sz w:val="22"/>
              </w:rPr>
              <w:t>me</w:t>
            </w:r>
            <w:r w:rsidR="0043007F" w:rsidRPr="00B31018">
              <w:rPr>
                <w:rFonts w:ascii="Tahoma" w:hAnsi="Tahoma" w:cs="Tahoma"/>
                <w:sz w:val="22"/>
              </w:rPr>
              <w:t>mber</w:t>
            </w:r>
            <w:r w:rsidR="0043007F">
              <w:rPr>
                <w:rFonts w:ascii="Tahoma" w:hAnsi="Tahoma" w:cs="Tahoma"/>
                <w:sz w:val="22"/>
              </w:rPr>
              <w:t>s</w:t>
            </w:r>
            <w:r w:rsidR="002D116B" w:rsidRPr="00B31018">
              <w:rPr>
                <w:rFonts w:ascii="Tahoma" w:hAnsi="Tahoma" w:cs="Tahoma"/>
                <w:sz w:val="22"/>
              </w:rPr>
              <w:t>.</w:t>
            </w:r>
            <w:r w:rsidR="00B31018">
              <w:rPr>
                <w:rFonts w:ascii="Tahoma" w:hAnsi="Tahoma" w:cs="Tahoma"/>
                <w:strike/>
                <w:color w:val="FF0000"/>
                <w:sz w:val="22"/>
              </w:rPr>
              <w:t xml:space="preserve"> </w:t>
            </w:r>
          </w:p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</w:rPr>
              <w:t> </w:t>
            </w:r>
          </w:p>
        </w:tc>
      </w:tr>
      <w:tr w:rsidR="002D116B" w:rsidTr="0043007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>Procedure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> </w:t>
            </w:r>
          </w:p>
          <w:p w:rsidR="00F27EC1" w:rsidRDefault="00F27EC1">
            <w:pPr>
              <w:pStyle w:val="BodyText2"/>
              <w:spacing w:before="0" w:beforeAutospacing="0" w:after="0" w:afterAutospacing="0"/>
            </w:pPr>
            <w:r>
              <w:t xml:space="preserve">The Committee will report </w:t>
            </w:r>
            <w:r w:rsidR="00826B5F">
              <w:t xml:space="preserve">annually </w:t>
            </w:r>
            <w:r>
              <w:t xml:space="preserve">to the Boards of Directors and will meet as often as it determines, but not less than once a year. </w:t>
            </w:r>
          </w:p>
          <w:p w:rsidR="00F27EC1" w:rsidRDefault="00F27EC1">
            <w:pPr>
              <w:pStyle w:val="BodyText2"/>
              <w:spacing w:before="0" w:beforeAutospacing="0" w:after="0" w:afterAutospacing="0"/>
            </w:pPr>
          </w:p>
          <w:p w:rsidR="002D116B" w:rsidRDefault="002D116B">
            <w:pPr>
              <w:pStyle w:val="BodyText2"/>
              <w:spacing w:before="0" w:beforeAutospacing="0" w:after="0" w:afterAutospacing="0"/>
            </w:pPr>
            <w:r>
              <w:t xml:space="preserve">The Committee may ask </w:t>
            </w:r>
            <w:r w:rsidR="00F42D8A">
              <w:t>E</w:t>
            </w:r>
            <w:r w:rsidR="00826B5F">
              <w:t>xecutive</w:t>
            </w:r>
            <w:r w:rsidR="00F42D8A">
              <w:t xml:space="preserve"> </w:t>
            </w:r>
            <w:r w:rsidR="00B172DA">
              <w:t>S</w:t>
            </w:r>
            <w:r w:rsidR="00F42D8A">
              <w:t>taff</w:t>
            </w:r>
            <w:r>
              <w:t xml:space="preserve"> or others to attend Committee meetings and provide pertinent information when needed.</w:t>
            </w:r>
          </w:p>
          <w:p w:rsidR="002D116B" w:rsidRDefault="002D116B">
            <w:pPr>
              <w:pStyle w:val="BodyText2"/>
              <w:spacing w:before="0" w:beforeAutospacing="0" w:after="0" w:afterAutospacing="0"/>
              <w:rPr>
                <w:szCs w:val="20"/>
              </w:rPr>
            </w:pPr>
            <w:r>
              <w:rPr>
                <w:szCs w:val="22"/>
              </w:rPr>
              <w:t> </w:t>
            </w:r>
          </w:p>
          <w:p w:rsidR="002D116B" w:rsidRDefault="00E260CF">
            <w:pPr>
              <w:pStyle w:val="BodyText2"/>
              <w:spacing w:before="0" w:beforeAutospacing="0" w:after="0" w:afterAutospacing="0"/>
            </w:pPr>
            <w:r>
              <w:t>A majority of</w:t>
            </w:r>
            <w:r w:rsidR="002D116B">
              <w:t xml:space="preserve"> the members of the Committee will constitute a quorum</w:t>
            </w:r>
            <w:r w:rsidR="00A94B6B">
              <w:t xml:space="preserve"> </w:t>
            </w:r>
            <w:r w:rsidR="002D116B">
              <w:t>with a majority of votes of those Committee members present at a meeting in which a quorum has been</w:t>
            </w:r>
            <w:r w:rsidR="00A42843">
              <w:t xml:space="preserve"> </w:t>
            </w:r>
            <w:r w:rsidR="002D116B">
              <w:t xml:space="preserve">established being sufficient to adopt a resolution or otherwise take action. </w:t>
            </w:r>
          </w:p>
          <w:p w:rsidR="002D116B" w:rsidRDefault="002D116B">
            <w:pPr>
              <w:pStyle w:val="BodyText2"/>
              <w:spacing w:before="0" w:beforeAutospacing="0" w:after="0" w:afterAutospacing="0"/>
              <w:rPr>
                <w:szCs w:val="20"/>
              </w:rPr>
            </w:pPr>
            <w:r>
              <w:rPr>
                <w:szCs w:val="22"/>
              </w:rPr>
              <w:t> </w:t>
            </w:r>
          </w:p>
          <w:p w:rsidR="002D116B" w:rsidRDefault="002D116B">
            <w:pPr>
              <w:pStyle w:val="BodyText2"/>
              <w:spacing w:before="0" w:beforeAutospacing="0" w:after="0" w:afterAutospacing="0"/>
            </w:pPr>
            <w:r>
              <w:t>The Committee may delegate any of its responsibilities to subcommittees, as the Committee may deem appropriate.</w:t>
            </w:r>
          </w:p>
          <w:p w:rsidR="002D116B" w:rsidRPr="000F214C" w:rsidRDefault="002D116B" w:rsidP="000F214C">
            <w:pPr>
              <w:pStyle w:val="BodyText2"/>
              <w:spacing w:before="0" w:beforeAutospacing="0" w:after="0" w:afterAutospacing="0"/>
            </w:pPr>
            <w:r>
              <w:rPr>
                <w:szCs w:val="22"/>
              </w:rPr>
              <w:t> </w:t>
            </w:r>
          </w:p>
        </w:tc>
      </w:tr>
    </w:tbl>
    <w:p w:rsidR="002D116B" w:rsidRDefault="002D116B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2"/>
        </w:rPr>
        <w:t> </w:t>
      </w:r>
    </w:p>
    <w:p w:rsidR="002D116B" w:rsidRDefault="002D116B" w:rsidP="00A94B6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CE6C1F" w:rsidRDefault="00CE6C1F" w:rsidP="00A94B6B"/>
    <w:p w:rsidR="00EF1079" w:rsidRDefault="00EF1079" w:rsidP="00A94B6B"/>
    <w:p w:rsidR="002D116B" w:rsidRDefault="002D116B">
      <w:pPr>
        <w:pStyle w:val="Title"/>
      </w:pPr>
      <w:r>
        <w:t> </w:t>
      </w: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110"/>
      </w:tblGrid>
      <w:tr w:rsidR="002D116B" w:rsidTr="0043007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  <w:p w:rsidR="002D116B" w:rsidRDefault="002D116B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2D116B" w:rsidRDefault="002D116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Duties, Responsibilities &amp; Authority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6367EA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has the overall responsibility for </w:t>
            </w:r>
            <w:r w:rsidR="00123095">
              <w:rPr>
                <w:rFonts w:ascii="Tahoma" w:hAnsi="Tahoma" w:cs="Tahoma"/>
                <w:color w:val="000000"/>
                <w:sz w:val="22"/>
                <w:szCs w:val="21"/>
              </w:rPr>
              <w:t xml:space="preserve">evaluating and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>approving the compensation plans, policies, and programs</w:t>
            </w:r>
            <w:r w:rsidR="001E1DEA">
              <w:rPr>
                <w:rFonts w:ascii="Tahoma" w:hAnsi="Tahoma" w:cs="Tahoma"/>
                <w:color w:val="000000"/>
                <w:sz w:val="22"/>
                <w:szCs w:val="21"/>
              </w:rPr>
              <w:t xml:space="preserve"> </w:t>
            </w:r>
            <w:r w:rsidR="0043007F">
              <w:rPr>
                <w:rFonts w:ascii="Tahoma" w:hAnsi="Tahoma" w:cs="Tahoma"/>
                <w:color w:val="000000"/>
                <w:sz w:val="22"/>
                <w:szCs w:val="21"/>
              </w:rPr>
              <w:t xml:space="preserve">for Executive </w:t>
            </w:r>
            <w:r w:rsidR="00B172DA">
              <w:rPr>
                <w:rFonts w:ascii="Tahoma" w:hAnsi="Tahoma" w:cs="Tahoma"/>
                <w:color w:val="000000"/>
                <w:sz w:val="22"/>
                <w:szCs w:val="21"/>
              </w:rPr>
              <w:t>S</w:t>
            </w:r>
            <w:r w:rsidR="0043007F">
              <w:rPr>
                <w:rFonts w:ascii="Tahoma" w:hAnsi="Tahoma" w:cs="Tahoma"/>
                <w:color w:val="000000"/>
                <w:sz w:val="22"/>
                <w:szCs w:val="21"/>
              </w:rPr>
              <w:t xml:space="preserve">taff. </w:t>
            </w:r>
          </w:p>
          <w:p w:rsidR="00A05EA1" w:rsidRPr="006367EA" w:rsidRDefault="00A05EA1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shall adopt and provide oversight of 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 xml:space="preserve">executive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compensation policy so that </w:t>
            </w:r>
            <w:r w:rsidR="00E36512">
              <w:rPr>
                <w:rFonts w:ascii="Tahoma" w:hAnsi="Tahoma" w:cs="Tahoma"/>
                <w:color w:val="000000"/>
                <w:sz w:val="22"/>
                <w:szCs w:val="21"/>
              </w:rPr>
              <w:t>it does not induce excessive or inappropriate risk taking, is in alignment with the Company’s identified risk appetite and long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>-</w:t>
            </w:r>
            <w:r w:rsidR="00E36512">
              <w:rPr>
                <w:rFonts w:ascii="Tahoma" w:hAnsi="Tahoma" w:cs="Tahoma"/>
                <w:color w:val="000000"/>
                <w:sz w:val="22"/>
                <w:szCs w:val="21"/>
              </w:rPr>
              <w:t>term interests, and includes proper regard for the interests of its stakeholders.</w:t>
            </w:r>
          </w:p>
          <w:p w:rsidR="002D116B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</w:t>
            </w:r>
            <w:r w:rsidR="00777274">
              <w:rPr>
                <w:rFonts w:ascii="Tahoma" w:hAnsi="Tahoma" w:cs="Tahoma"/>
                <w:color w:val="000000"/>
                <w:sz w:val="22"/>
                <w:szCs w:val="21"/>
              </w:rPr>
              <w:t>shall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 review and approve, on an annual basis, the goals and objectives with respect to compensation for the Executive </w:t>
            </w:r>
            <w:r w:rsidR="00234EEF">
              <w:rPr>
                <w:rFonts w:ascii="Tahoma" w:hAnsi="Tahoma" w:cs="Tahoma"/>
                <w:color w:val="000000"/>
                <w:sz w:val="22"/>
                <w:szCs w:val="21"/>
              </w:rPr>
              <w:t>S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>taff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>.</w:t>
            </w:r>
          </w:p>
          <w:p w:rsidR="002D116B" w:rsidRDefault="00572EBF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>The Committee will conduct an annual</w:t>
            </w:r>
            <w:r w:rsidR="002D116B">
              <w:rPr>
                <w:rFonts w:ascii="Tahoma" w:hAnsi="Tahoma" w:cs="Tahoma"/>
                <w:color w:val="000000"/>
                <w:sz w:val="22"/>
                <w:szCs w:val="21"/>
              </w:rPr>
              <w:t xml:space="preserve"> performance evaluation of the Chief Executive Officer.</w:t>
            </w:r>
          </w:p>
          <w:p w:rsidR="002D116B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will review and approve compensation 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 xml:space="preserve">pools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>for</w:t>
            </w:r>
            <w:r w:rsidR="00777274">
              <w:rPr>
                <w:rFonts w:ascii="Tahoma" w:hAnsi="Tahoma" w:cs="Tahom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Executive </w:t>
            </w:r>
            <w:r w:rsidR="00234EEF">
              <w:rPr>
                <w:rFonts w:ascii="Tahoma" w:hAnsi="Tahoma" w:cs="Tahoma"/>
                <w:color w:val="000000"/>
                <w:sz w:val="22"/>
                <w:szCs w:val="21"/>
              </w:rPr>
              <w:t>S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>taff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. </w:t>
            </w:r>
          </w:p>
          <w:p w:rsidR="002D116B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will oversee the development of Executive </w:t>
            </w:r>
            <w:r w:rsidR="00234EEF">
              <w:rPr>
                <w:rFonts w:ascii="Tahoma" w:hAnsi="Tahoma" w:cs="Tahoma"/>
                <w:color w:val="000000"/>
                <w:sz w:val="22"/>
                <w:szCs w:val="21"/>
              </w:rPr>
              <w:t>S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 xml:space="preserve">taff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succession plans.  </w:t>
            </w:r>
          </w:p>
          <w:p w:rsidR="002D116B" w:rsidRPr="007A6A3D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>The Committee will conduct</w:t>
            </w:r>
            <w:r w:rsidR="007A6A3D">
              <w:rPr>
                <w:rFonts w:ascii="Tahoma" w:hAnsi="Tahoma" w:cs="Tahoma"/>
                <w:color w:val="000000"/>
                <w:sz w:val="22"/>
                <w:szCs w:val="21"/>
              </w:rPr>
              <w:t xml:space="preserve"> </w:t>
            </w:r>
            <w:r w:rsidR="00572EBF" w:rsidRPr="007A6A3D">
              <w:rPr>
                <w:rFonts w:ascii="Tahoma" w:hAnsi="Tahoma" w:cs="Tahoma"/>
                <w:sz w:val="22"/>
                <w:szCs w:val="21"/>
              </w:rPr>
              <w:t xml:space="preserve">a biennial </w:t>
            </w:r>
            <w:r w:rsidRPr="007A6A3D">
              <w:rPr>
                <w:rFonts w:ascii="Tahoma" w:hAnsi="Tahoma" w:cs="Tahoma"/>
                <w:sz w:val="22"/>
                <w:szCs w:val="21"/>
              </w:rPr>
              <w:t>performance self-evaluation of the Committee</w:t>
            </w:r>
            <w:r w:rsidR="00572EBF" w:rsidRPr="007A6A3D">
              <w:rPr>
                <w:rFonts w:ascii="Tahoma" w:hAnsi="Tahoma" w:cs="Tahoma"/>
                <w:sz w:val="22"/>
                <w:szCs w:val="21"/>
              </w:rPr>
              <w:t xml:space="preserve"> or as otherwise determined by the Governance Committee</w:t>
            </w:r>
            <w:r w:rsidRPr="007A6A3D">
              <w:rPr>
                <w:rFonts w:ascii="Tahoma" w:hAnsi="Tahoma" w:cs="Tahoma"/>
                <w:sz w:val="22"/>
                <w:szCs w:val="21"/>
              </w:rPr>
              <w:t xml:space="preserve">. </w:t>
            </w:r>
          </w:p>
          <w:p w:rsidR="002D116B" w:rsidRDefault="002D116B" w:rsidP="006D1643">
            <w:pPr>
              <w:pStyle w:val="BodyText2"/>
              <w:numPr>
                <w:ilvl w:val="0"/>
                <w:numId w:val="4"/>
              </w:numPr>
            </w:pPr>
            <w:r>
              <w:t xml:space="preserve">The Committee will have the authority, in its discretion, to retain and terminate any consulting firm to assist in </w:t>
            </w:r>
            <w:r w:rsidR="00826B5F">
              <w:t xml:space="preserve">executive </w:t>
            </w:r>
            <w:r>
              <w:t>compensation matters.</w:t>
            </w:r>
          </w:p>
          <w:p w:rsidR="002D116B" w:rsidRDefault="002D116B" w:rsidP="006D1643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22"/>
                <w:szCs w:val="21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</w:t>
            </w:r>
            <w:r w:rsidR="00777274">
              <w:rPr>
                <w:rFonts w:ascii="Tahoma" w:hAnsi="Tahoma" w:cs="Tahoma"/>
                <w:color w:val="000000"/>
                <w:sz w:val="22"/>
                <w:szCs w:val="21"/>
              </w:rPr>
              <w:t>shal</w:t>
            </w:r>
            <w:r w:rsidR="00BD2942">
              <w:rPr>
                <w:rFonts w:ascii="Tahoma" w:hAnsi="Tahoma" w:cs="Tahoma"/>
                <w:color w:val="000000"/>
                <w:sz w:val="22"/>
                <w:szCs w:val="21"/>
              </w:rPr>
              <w:t>l</w:t>
            </w:r>
            <w:r w:rsidR="00FE2B28">
              <w:rPr>
                <w:rFonts w:ascii="Tahoma" w:hAnsi="Tahoma" w:cs="Tahoma"/>
                <w:color w:val="000000"/>
                <w:sz w:val="22"/>
                <w:szCs w:val="21"/>
              </w:rPr>
              <w:t xml:space="preserve"> review and assess, at </w:t>
            </w:r>
            <w:r w:rsidR="001E1DEA">
              <w:rPr>
                <w:rFonts w:ascii="Tahoma" w:hAnsi="Tahoma" w:cs="Tahoma"/>
                <w:color w:val="000000"/>
                <w:sz w:val="22"/>
                <w:szCs w:val="21"/>
              </w:rPr>
              <w:t>least biennially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, </w:t>
            </w:r>
            <w:r w:rsidR="00123095">
              <w:rPr>
                <w:rFonts w:ascii="Tahoma" w:hAnsi="Tahoma" w:cs="Tahoma"/>
                <w:color w:val="000000"/>
                <w:sz w:val="22"/>
                <w:szCs w:val="21"/>
              </w:rPr>
              <w:t>the Committee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 Charter and submit cha</w:t>
            </w:r>
            <w:r w:rsidR="0081304B">
              <w:rPr>
                <w:rFonts w:ascii="Tahoma" w:hAnsi="Tahoma" w:cs="Tahoma"/>
                <w:color w:val="000000"/>
                <w:sz w:val="22"/>
                <w:szCs w:val="21"/>
              </w:rPr>
              <w:t xml:space="preserve">nges for </w:t>
            </w:r>
            <w:r w:rsidR="00E260CF">
              <w:rPr>
                <w:rFonts w:ascii="Tahoma" w:hAnsi="Tahoma" w:cs="Tahoma"/>
                <w:color w:val="000000"/>
                <w:sz w:val="22"/>
                <w:szCs w:val="21"/>
              </w:rPr>
              <w:t xml:space="preserve">review by the Governance Committee and </w:t>
            </w:r>
            <w:r w:rsidR="00123095">
              <w:rPr>
                <w:rFonts w:ascii="Tahoma" w:hAnsi="Tahoma" w:cs="Tahoma"/>
                <w:color w:val="000000"/>
                <w:sz w:val="22"/>
                <w:szCs w:val="21"/>
              </w:rPr>
              <w:t xml:space="preserve">subsequent </w:t>
            </w:r>
            <w:r w:rsidR="00E260CF">
              <w:rPr>
                <w:rFonts w:ascii="Tahoma" w:hAnsi="Tahoma" w:cs="Tahoma"/>
                <w:color w:val="000000"/>
                <w:sz w:val="22"/>
                <w:szCs w:val="21"/>
              </w:rPr>
              <w:t>submi</w:t>
            </w:r>
            <w:r w:rsidR="00123095">
              <w:rPr>
                <w:rFonts w:ascii="Tahoma" w:hAnsi="Tahoma" w:cs="Tahoma"/>
                <w:color w:val="000000"/>
                <w:sz w:val="22"/>
                <w:szCs w:val="21"/>
              </w:rPr>
              <w:t>ssion</w:t>
            </w:r>
            <w:r w:rsidR="00E260CF">
              <w:rPr>
                <w:rFonts w:ascii="Tahoma" w:hAnsi="Tahoma" w:cs="Tahoma"/>
                <w:color w:val="000000"/>
                <w:sz w:val="22"/>
                <w:szCs w:val="21"/>
              </w:rPr>
              <w:t xml:space="preserve"> to the Board</w:t>
            </w:r>
            <w:r w:rsidR="0043007F">
              <w:rPr>
                <w:rFonts w:ascii="Tahoma" w:hAnsi="Tahoma" w:cs="Tahoma"/>
                <w:color w:val="000000"/>
                <w:sz w:val="22"/>
                <w:szCs w:val="21"/>
              </w:rPr>
              <w:t>s of Directors</w:t>
            </w:r>
            <w:r w:rsidR="00E260CF">
              <w:rPr>
                <w:rFonts w:ascii="Tahoma" w:hAnsi="Tahoma" w:cs="Tahoma"/>
                <w:color w:val="000000"/>
                <w:sz w:val="22"/>
                <w:szCs w:val="21"/>
              </w:rPr>
              <w:t xml:space="preserve"> for approval</w:t>
            </w:r>
            <w:r w:rsidR="0081304B">
              <w:rPr>
                <w:rFonts w:ascii="Tahoma" w:hAnsi="Tahoma" w:cs="Tahoma"/>
                <w:color w:val="000000"/>
                <w:sz w:val="22"/>
                <w:szCs w:val="21"/>
              </w:rPr>
              <w:t>.</w:t>
            </w:r>
          </w:p>
          <w:p w:rsidR="002D116B" w:rsidRDefault="002D116B" w:rsidP="006D164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1"/>
              </w:rPr>
              <w:t xml:space="preserve">The Committee will perform other </w:t>
            </w:r>
            <w:r w:rsidR="00826B5F">
              <w:rPr>
                <w:rFonts w:ascii="Tahoma" w:hAnsi="Tahoma" w:cs="Tahoma"/>
                <w:color w:val="000000"/>
                <w:sz w:val="22"/>
                <w:szCs w:val="21"/>
              </w:rPr>
              <w:t xml:space="preserve">related </w:t>
            </w:r>
            <w:r>
              <w:rPr>
                <w:rFonts w:ascii="Tahoma" w:hAnsi="Tahoma" w:cs="Tahoma"/>
                <w:color w:val="000000"/>
                <w:sz w:val="22"/>
                <w:szCs w:val="21"/>
              </w:rPr>
              <w:t>funct</w:t>
            </w:r>
            <w:r w:rsidR="0081304B">
              <w:rPr>
                <w:rFonts w:ascii="Tahoma" w:hAnsi="Tahoma" w:cs="Tahoma"/>
                <w:color w:val="000000"/>
                <w:sz w:val="22"/>
                <w:szCs w:val="21"/>
              </w:rPr>
              <w:t>ions as requested by the Boards</w:t>
            </w:r>
            <w:r w:rsidR="0043007F">
              <w:rPr>
                <w:rFonts w:ascii="Tahoma" w:hAnsi="Tahoma" w:cs="Tahoma"/>
                <w:color w:val="000000"/>
                <w:sz w:val="22"/>
                <w:szCs w:val="21"/>
              </w:rPr>
              <w:t xml:space="preserve"> of Directors</w:t>
            </w:r>
            <w:r w:rsidR="0081304B">
              <w:rPr>
                <w:rFonts w:ascii="Tahoma" w:hAnsi="Tahoma" w:cs="Tahoma"/>
                <w:color w:val="000000"/>
                <w:sz w:val="22"/>
                <w:szCs w:val="21"/>
              </w:rPr>
              <w:t>.</w:t>
            </w:r>
          </w:p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D116B" w:rsidRDefault="002D116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 </w:t>
            </w:r>
          </w:p>
        </w:tc>
      </w:tr>
    </w:tbl>
    <w:p w:rsidR="002D116B" w:rsidRDefault="002D116B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2"/>
        </w:rPr>
        <w:t> </w:t>
      </w:r>
    </w:p>
    <w:p w:rsidR="002D116B" w:rsidRDefault="002D116B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sectPr w:rsidR="002D116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73" w:rsidRDefault="009D4F73">
      <w:r>
        <w:separator/>
      </w:r>
    </w:p>
  </w:endnote>
  <w:endnote w:type="continuationSeparator" w:id="0">
    <w:p w:rsidR="009D4F73" w:rsidRDefault="009D4F73">
      <w:r>
        <w:continuationSeparator/>
      </w:r>
    </w:p>
  </w:endnote>
  <w:endnote w:type="continuationNotice" w:id="1">
    <w:p w:rsidR="009D4F73" w:rsidRDefault="009D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F8" w:rsidRDefault="002534F8" w:rsidP="00996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4F8" w:rsidRDefault="00253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F8" w:rsidRPr="002E1A3D" w:rsidRDefault="0043007F" w:rsidP="00097E43">
    <w:pPr>
      <w:pStyle w:val="Footer"/>
      <w:rPr>
        <w:sz w:val="20"/>
        <w:szCs w:val="20"/>
      </w:rPr>
    </w:pPr>
    <w:r>
      <w:rPr>
        <w:sz w:val="20"/>
        <w:szCs w:val="20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73" w:rsidRDefault="009D4F73">
      <w:r>
        <w:separator/>
      </w:r>
    </w:p>
  </w:footnote>
  <w:footnote w:type="continuationSeparator" w:id="0">
    <w:p w:rsidR="009D4F73" w:rsidRDefault="009D4F73">
      <w:r>
        <w:continuationSeparator/>
      </w:r>
    </w:p>
  </w:footnote>
  <w:footnote w:type="continuationNotice" w:id="1">
    <w:p w:rsidR="009D4F73" w:rsidRDefault="009D4F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F8" w:rsidRPr="00091929" w:rsidRDefault="002534F8">
    <w:pPr>
      <w:pStyle w:val="Title"/>
      <w:rPr>
        <w:szCs w:val="22"/>
      </w:rPr>
    </w:pPr>
    <w:r w:rsidRPr="00091929">
      <w:rPr>
        <w:szCs w:val="22"/>
      </w:rPr>
      <w:t>OIL INSURANCE LIMITED</w:t>
    </w:r>
  </w:p>
  <w:p w:rsidR="002534F8" w:rsidRPr="00091929" w:rsidRDefault="002534F8">
    <w:pPr>
      <w:pStyle w:val="Title"/>
      <w:rPr>
        <w:szCs w:val="22"/>
      </w:rPr>
    </w:pPr>
    <w:r w:rsidRPr="00091929">
      <w:rPr>
        <w:szCs w:val="22"/>
      </w:rPr>
      <w:t>OIL CASUALTY INSURANCE, LTD.</w:t>
    </w:r>
  </w:p>
  <w:p w:rsidR="002534F8" w:rsidRPr="00091929" w:rsidRDefault="002534F8">
    <w:pPr>
      <w:pStyle w:val="Title"/>
      <w:rPr>
        <w:szCs w:val="22"/>
      </w:rPr>
    </w:pPr>
  </w:p>
  <w:p w:rsidR="002534F8" w:rsidRPr="00091929" w:rsidRDefault="002534F8">
    <w:pPr>
      <w:pStyle w:val="Title"/>
      <w:rPr>
        <w:szCs w:val="22"/>
      </w:rPr>
    </w:pPr>
    <w:r w:rsidRPr="00091929">
      <w:rPr>
        <w:szCs w:val="22"/>
      </w:rPr>
      <w:t>Joint Compensation Committee Charter</w:t>
    </w:r>
  </w:p>
  <w:p w:rsidR="002534F8" w:rsidRDefault="0025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F7C"/>
    <w:multiLevelType w:val="hybridMultilevel"/>
    <w:tmpl w:val="327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F3E"/>
    <w:multiLevelType w:val="hybridMultilevel"/>
    <w:tmpl w:val="9BCEAD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46869"/>
    <w:multiLevelType w:val="hybridMultilevel"/>
    <w:tmpl w:val="558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5"/>
    <w:rsid w:val="000120A2"/>
    <w:rsid w:val="00013E74"/>
    <w:rsid w:val="00014689"/>
    <w:rsid w:val="00052D12"/>
    <w:rsid w:val="00081E79"/>
    <w:rsid w:val="00091929"/>
    <w:rsid w:val="00097E43"/>
    <w:rsid w:val="000C45EE"/>
    <w:rsid w:val="000D1D79"/>
    <w:rsid w:val="000F214C"/>
    <w:rsid w:val="000F261C"/>
    <w:rsid w:val="00114377"/>
    <w:rsid w:val="00123095"/>
    <w:rsid w:val="001311B3"/>
    <w:rsid w:val="001729B4"/>
    <w:rsid w:val="0019059F"/>
    <w:rsid w:val="0019602F"/>
    <w:rsid w:val="001A4D58"/>
    <w:rsid w:val="001C426A"/>
    <w:rsid w:val="001C5CD4"/>
    <w:rsid w:val="001E1DEA"/>
    <w:rsid w:val="001F3AA4"/>
    <w:rsid w:val="001F7CD5"/>
    <w:rsid w:val="00234EEF"/>
    <w:rsid w:val="002430B2"/>
    <w:rsid w:val="00244172"/>
    <w:rsid w:val="002506DC"/>
    <w:rsid w:val="002534F8"/>
    <w:rsid w:val="00265CDA"/>
    <w:rsid w:val="0027572E"/>
    <w:rsid w:val="002C3EA1"/>
    <w:rsid w:val="002D116B"/>
    <w:rsid w:val="002E1A3D"/>
    <w:rsid w:val="003471E4"/>
    <w:rsid w:val="00356C2C"/>
    <w:rsid w:val="003D67B4"/>
    <w:rsid w:val="003F5119"/>
    <w:rsid w:val="004103CA"/>
    <w:rsid w:val="0043007F"/>
    <w:rsid w:val="00440C83"/>
    <w:rsid w:val="004578F6"/>
    <w:rsid w:val="004611F0"/>
    <w:rsid w:val="0047668E"/>
    <w:rsid w:val="004772A6"/>
    <w:rsid w:val="004855A5"/>
    <w:rsid w:val="004D1979"/>
    <w:rsid w:val="004F7F6D"/>
    <w:rsid w:val="0056135C"/>
    <w:rsid w:val="0056607B"/>
    <w:rsid w:val="00572EBF"/>
    <w:rsid w:val="0058150A"/>
    <w:rsid w:val="00594DE7"/>
    <w:rsid w:val="005A3632"/>
    <w:rsid w:val="005A764D"/>
    <w:rsid w:val="005B0EA0"/>
    <w:rsid w:val="005B1FB2"/>
    <w:rsid w:val="005C7CF3"/>
    <w:rsid w:val="005E6B24"/>
    <w:rsid w:val="005F02CA"/>
    <w:rsid w:val="005F203C"/>
    <w:rsid w:val="00602A58"/>
    <w:rsid w:val="00617097"/>
    <w:rsid w:val="006367EA"/>
    <w:rsid w:val="00690A39"/>
    <w:rsid w:val="006A03B1"/>
    <w:rsid w:val="006A21D7"/>
    <w:rsid w:val="006B1EE8"/>
    <w:rsid w:val="006D1643"/>
    <w:rsid w:val="006E5B9E"/>
    <w:rsid w:val="007059D0"/>
    <w:rsid w:val="00713D7A"/>
    <w:rsid w:val="007341CE"/>
    <w:rsid w:val="00741810"/>
    <w:rsid w:val="0076655E"/>
    <w:rsid w:val="00774E93"/>
    <w:rsid w:val="00777274"/>
    <w:rsid w:val="007858FB"/>
    <w:rsid w:val="0079062D"/>
    <w:rsid w:val="007A06F0"/>
    <w:rsid w:val="007A62D0"/>
    <w:rsid w:val="007A6A3D"/>
    <w:rsid w:val="00802347"/>
    <w:rsid w:val="0081304B"/>
    <w:rsid w:val="00825C88"/>
    <w:rsid w:val="00826B5F"/>
    <w:rsid w:val="0084180F"/>
    <w:rsid w:val="00842ED7"/>
    <w:rsid w:val="00845CA2"/>
    <w:rsid w:val="00862909"/>
    <w:rsid w:val="00871E85"/>
    <w:rsid w:val="00880C27"/>
    <w:rsid w:val="008A5B2C"/>
    <w:rsid w:val="008B2CAD"/>
    <w:rsid w:val="008B3BE2"/>
    <w:rsid w:val="008B422F"/>
    <w:rsid w:val="008C0997"/>
    <w:rsid w:val="008D2106"/>
    <w:rsid w:val="0091479E"/>
    <w:rsid w:val="009163BD"/>
    <w:rsid w:val="0092244B"/>
    <w:rsid w:val="009774BE"/>
    <w:rsid w:val="009817B7"/>
    <w:rsid w:val="00982760"/>
    <w:rsid w:val="00996E6E"/>
    <w:rsid w:val="009A68AA"/>
    <w:rsid w:val="009C62B7"/>
    <w:rsid w:val="009D4F73"/>
    <w:rsid w:val="009E1E04"/>
    <w:rsid w:val="00A05EA1"/>
    <w:rsid w:val="00A42843"/>
    <w:rsid w:val="00A94B6B"/>
    <w:rsid w:val="00AA02FD"/>
    <w:rsid w:val="00AA3642"/>
    <w:rsid w:val="00AD19EB"/>
    <w:rsid w:val="00B172DA"/>
    <w:rsid w:val="00B31018"/>
    <w:rsid w:val="00B72621"/>
    <w:rsid w:val="00B804A0"/>
    <w:rsid w:val="00BD2942"/>
    <w:rsid w:val="00BE7B11"/>
    <w:rsid w:val="00C2552D"/>
    <w:rsid w:val="00C50CF7"/>
    <w:rsid w:val="00C60821"/>
    <w:rsid w:val="00C90C45"/>
    <w:rsid w:val="00CD58F3"/>
    <w:rsid w:val="00CE6C1F"/>
    <w:rsid w:val="00D14A20"/>
    <w:rsid w:val="00D5731D"/>
    <w:rsid w:val="00D82F85"/>
    <w:rsid w:val="00DA07A8"/>
    <w:rsid w:val="00DC0CB4"/>
    <w:rsid w:val="00DC5954"/>
    <w:rsid w:val="00DD7E3B"/>
    <w:rsid w:val="00DE45B9"/>
    <w:rsid w:val="00DE72C9"/>
    <w:rsid w:val="00DF761F"/>
    <w:rsid w:val="00E21F71"/>
    <w:rsid w:val="00E22C13"/>
    <w:rsid w:val="00E260CF"/>
    <w:rsid w:val="00E36512"/>
    <w:rsid w:val="00E5736A"/>
    <w:rsid w:val="00E870F0"/>
    <w:rsid w:val="00EA5187"/>
    <w:rsid w:val="00EA760D"/>
    <w:rsid w:val="00ED6403"/>
    <w:rsid w:val="00EE50F8"/>
    <w:rsid w:val="00EE5EA8"/>
    <w:rsid w:val="00EF1079"/>
    <w:rsid w:val="00F012BD"/>
    <w:rsid w:val="00F2003E"/>
    <w:rsid w:val="00F27EC1"/>
    <w:rsid w:val="00F42D8A"/>
    <w:rsid w:val="00F5322B"/>
    <w:rsid w:val="00F94A53"/>
    <w:rsid w:val="00FA76CC"/>
    <w:rsid w:val="00FC773F"/>
    <w:rsid w:val="00FE2B28"/>
    <w:rsid w:val="00FE7D1C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F462B9"/>
  <w15:docId w15:val="{AAE86901-1611-4FF2-BDEB-4D9CFA7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BodyText2">
    <w:name w:val="Body Text 2"/>
    <w:basedOn w:val="Normal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29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A06F0"/>
  </w:style>
  <w:style w:type="paragraph" w:styleId="BodyText">
    <w:name w:val="Body Text"/>
    <w:basedOn w:val="Normal"/>
    <w:link w:val="BodyTextChar"/>
    <w:rsid w:val="0084180F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84180F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826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B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B5F"/>
    <w:rPr>
      <w:b/>
      <w:bCs/>
    </w:rPr>
  </w:style>
  <w:style w:type="character" w:customStyle="1" w:styleId="FooterChar">
    <w:name w:val="Footer Char"/>
    <w:basedOn w:val="DefaultParagraphFont"/>
    <w:link w:val="Footer"/>
    <w:rsid w:val="00CE6C1F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BF66-0CC2-485A-8247-9F485598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Compensation Committee Charter</vt:lpstr>
    </vt:vector>
  </TitlesOfParts>
  <Company>OIL Management Services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Compensation Committee Charter</dc:title>
  <dc:creator>MIS</dc:creator>
  <cp:lastModifiedBy>Desouza, Andrea P.</cp:lastModifiedBy>
  <cp:revision>7</cp:revision>
  <cp:lastPrinted>2020-02-25T19:51:00Z</cp:lastPrinted>
  <dcterms:created xsi:type="dcterms:W3CDTF">2020-02-25T19:49:00Z</dcterms:created>
  <dcterms:modified xsi:type="dcterms:W3CDTF">2020-02-25T19:54:00Z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